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F8AC" w14:textId="77777777" w:rsidR="002D3216" w:rsidRPr="00561D18" w:rsidRDefault="002D3216" w:rsidP="002D3216">
      <w:pPr>
        <w:spacing w:after="0" w:line="360" w:lineRule="auto"/>
        <w:jc w:val="center"/>
        <w:rPr>
          <w:rFonts w:ascii="Times New Roman" w:hAnsi="Times New Roman"/>
          <w:sz w:val="28"/>
          <w:szCs w:val="28"/>
        </w:rPr>
      </w:pPr>
      <w:r w:rsidRPr="00561D18">
        <w:rPr>
          <w:rFonts w:ascii="Times New Roman" w:hAnsi="Times New Roman"/>
          <w:sz w:val="28"/>
          <w:szCs w:val="28"/>
        </w:rPr>
        <w:t>«</w:t>
      </w:r>
      <w:r>
        <w:rPr>
          <w:rFonts w:ascii="Times New Roman" w:hAnsi="Times New Roman"/>
          <w:sz w:val="28"/>
          <w:szCs w:val="28"/>
        </w:rPr>
        <w:t>KARAGANDA MEDICAL UNIVERSITY</w:t>
      </w:r>
      <w:r w:rsidRPr="00561D18">
        <w:rPr>
          <w:rFonts w:ascii="Times New Roman" w:hAnsi="Times New Roman"/>
          <w:sz w:val="28"/>
          <w:szCs w:val="28"/>
        </w:rPr>
        <w:t>»</w:t>
      </w:r>
    </w:p>
    <w:p w14:paraId="4ADF9B2A" w14:textId="6859CA6D" w:rsidR="00E31A1E" w:rsidRPr="00561D18" w:rsidRDefault="002D3216" w:rsidP="00E31A1E">
      <w:pPr>
        <w:spacing w:after="0" w:line="360" w:lineRule="auto"/>
        <w:jc w:val="center"/>
        <w:rPr>
          <w:rFonts w:ascii="Times New Roman" w:hAnsi="Times New Roman"/>
          <w:sz w:val="28"/>
          <w:szCs w:val="28"/>
        </w:rPr>
      </w:pPr>
      <w:r>
        <w:rPr>
          <w:rFonts w:ascii="Times New Roman" w:hAnsi="Times New Roman"/>
          <w:sz w:val="28"/>
          <w:szCs w:val="28"/>
        </w:rPr>
        <w:t>NON-COMMERCIAL JOINT STOCK</w:t>
      </w:r>
      <w:r w:rsidR="00E31A1E" w:rsidRPr="00561D18">
        <w:rPr>
          <w:rFonts w:ascii="Times New Roman" w:hAnsi="Times New Roman"/>
          <w:sz w:val="28"/>
          <w:szCs w:val="28"/>
        </w:rPr>
        <w:t xml:space="preserve"> </w:t>
      </w:r>
      <w:r>
        <w:rPr>
          <w:rFonts w:ascii="Times New Roman" w:hAnsi="Times New Roman"/>
          <w:sz w:val="28"/>
          <w:szCs w:val="28"/>
        </w:rPr>
        <w:t>COMPANY</w:t>
      </w:r>
    </w:p>
    <w:p w14:paraId="3D0EA3EE" w14:textId="77777777" w:rsidR="00D91367" w:rsidRPr="00561D18" w:rsidRDefault="00D91367" w:rsidP="009D1716">
      <w:pPr>
        <w:spacing w:after="0" w:line="240" w:lineRule="auto"/>
        <w:ind w:left="-51" w:firstLine="51"/>
        <w:contextualSpacing/>
        <w:jc w:val="center"/>
        <w:rPr>
          <w:rFonts w:ascii="Times New Roman" w:eastAsia="Times New Roman" w:hAnsi="Times New Roman" w:cs="Times New Roman"/>
          <w:b/>
          <w:sz w:val="28"/>
          <w:szCs w:val="28"/>
        </w:rPr>
      </w:pPr>
    </w:p>
    <w:p w14:paraId="7C5FC804" w14:textId="77777777" w:rsidR="00D91367" w:rsidRPr="00561D18" w:rsidRDefault="00D91367" w:rsidP="009D1716">
      <w:pPr>
        <w:spacing w:after="0" w:line="240" w:lineRule="auto"/>
        <w:ind w:left="-51" w:firstLine="51"/>
        <w:contextualSpacing/>
        <w:jc w:val="center"/>
        <w:rPr>
          <w:rFonts w:ascii="Times New Roman" w:eastAsia="Times New Roman" w:hAnsi="Times New Roman" w:cs="Times New Roman"/>
          <w:b/>
          <w:sz w:val="28"/>
          <w:szCs w:val="28"/>
        </w:rPr>
      </w:pPr>
    </w:p>
    <w:p w14:paraId="09ED98AE" w14:textId="77777777" w:rsidR="00D91367" w:rsidRPr="00561D18" w:rsidRDefault="00D91367" w:rsidP="009D1716">
      <w:pPr>
        <w:spacing w:after="0" w:line="240" w:lineRule="auto"/>
        <w:ind w:left="-51" w:firstLine="51"/>
        <w:contextualSpacing/>
        <w:jc w:val="center"/>
        <w:rPr>
          <w:rFonts w:ascii="Times New Roman" w:eastAsia="Times New Roman" w:hAnsi="Times New Roman" w:cs="Times New Roman"/>
          <w:b/>
          <w:sz w:val="28"/>
          <w:szCs w:val="28"/>
        </w:rPr>
      </w:pPr>
    </w:p>
    <w:p w14:paraId="540CBE24" w14:textId="77777777" w:rsidR="00D91367" w:rsidRPr="00561D18" w:rsidRDefault="00D91367" w:rsidP="009D1716">
      <w:pPr>
        <w:spacing w:after="0" w:line="240" w:lineRule="auto"/>
        <w:ind w:left="-51" w:firstLine="51"/>
        <w:contextualSpacing/>
        <w:jc w:val="center"/>
        <w:rPr>
          <w:rFonts w:ascii="Times New Roman" w:eastAsia="Times New Roman" w:hAnsi="Times New Roman" w:cs="Times New Roman"/>
          <w:b/>
          <w:sz w:val="28"/>
          <w:szCs w:val="28"/>
        </w:rPr>
      </w:pPr>
    </w:p>
    <w:p w14:paraId="39819928" w14:textId="0F697EEA" w:rsidR="00E12294" w:rsidRPr="007E4AAB" w:rsidRDefault="00561D18" w:rsidP="00342709">
      <w:pPr>
        <w:spacing w:after="0" w:line="240" w:lineRule="auto"/>
        <w:ind w:firstLine="51"/>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3BDD632E" w14:textId="65797D85" w:rsidR="00E12294" w:rsidRPr="00561D18" w:rsidRDefault="00561D18" w:rsidP="00342709">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of</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dissertation</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obtaining</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scientific</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degree</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of</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Philosophy</w:t>
      </w:r>
      <w:r w:rsidRPr="00561D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Doctor</w:t>
      </w:r>
      <w:r w:rsidR="00E12294" w:rsidRPr="00561D18">
        <w:rPr>
          <w:rFonts w:ascii="Times New Roman" w:eastAsia="Times New Roman" w:hAnsi="Times New Roman" w:cs="Times New Roman"/>
          <w:sz w:val="28"/>
          <w:szCs w:val="28"/>
        </w:rPr>
        <w:t>:</w:t>
      </w:r>
      <w:r w:rsidR="00E12294" w:rsidRPr="00561D18">
        <w:rPr>
          <w:rFonts w:ascii="Times New Roman" w:hAnsi="Times New Roman" w:cs="Times New Roman"/>
          <w:sz w:val="28"/>
          <w:szCs w:val="28"/>
        </w:rPr>
        <w:t xml:space="preserve"> «</w:t>
      </w:r>
      <w:r w:rsidRPr="00561D18">
        <w:rPr>
          <w:rFonts w:ascii="Times New Roman" w:eastAsia="Times New Roman" w:hAnsi="Times New Roman" w:cs="Times New Roman"/>
          <w:sz w:val="28"/>
          <w:szCs w:val="28"/>
        </w:rPr>
        <w:t xml:space="preserve">Glycemic regulation biomarkers in patients with type 2 diabetes mellitus and cardiovascular </w:t>
      </w:r>
      <w:r w:rsidR="007917C7" w:rsidRPr="00561D18">
        <w:rPr>
          <w:rFonts w:ascii="Times New Roman" w:eastAsia="Times New Roman" w:hAnsi="Times New Roman" w:cs="Times New Roman"/>
          <w:sz w:val="28"/>
          <w:szCs w:val="28"/>
        </w:rPr>
        <w:t>events</w:t>
      </w:r>
      <w:r w:rsidR="00E12294" w:rsidRPr="00561D18">
        <w:rPr>
          <w:rFonts w:ascii="Times New Roman" w:hAnsi="Times New Roman" w:cs="Times New Roman"/>
          <w:sz w:val="28"/>
          <w:szCs w:val="28"/>
        </w:rPr>
        <w:t>»</w:t>
      </w:r>
      <w:r w:rsidR="00E12294" w:rsidRPr="00561D18">
        <w:rPr>
          <w:rFonts w:ascii="Times New Roman" w:eastAsia="Times New Roman" w:hAnsi="Times New Roman" w:cs="Times New Roman"/>
          <w:sz w:val="28"/>
          <w:szCs w:val="28"/>
        </w:rPr>
        <w:t xml:space="preserve"> </w:t>
      </w:r>
    </w:p>
    <w:p w14:paraId="080D9EC1" w14:textId="77777777" w:rsidR="001C6C42" w:rsidRPr="00561D18" w:rsidRDefault="001C6C42" w:rsidP="009D1716">
      <w:pPr>
        <w:spacing w:after="0" w:line="240" w:lineRule="auto"/>
        <w:ind w:left="-51" w:firstLine="51"/>
        <w:contextualSpacing/>
        <w:jc w:val="center"/>
        <w:rPr>
          <w:rFonts w:ascii="Times New Roman" w:eastAsia="Times New Roman" w:hAnsi="Times New Roman" w:cs="Times New Roman"/>
          <w:b/>
          <w:sz w:val="28"/>
          <w:szCs w:val="28"/>
        </w:rPr>
      </w:pPr>
    </w:p>
    <w:p w14:paraId="5465F9F1" w14:textId="77777777" w:rsidR="00D91367" w:rsidRPr="00561D18" w:rsidRDefault="00D91367" w:rsidP="009D1716">
      <w:pPr>
        <w:spacing w:after="0" w:line="240" w:lineRule="auto"/>
        <w:ind w:left="-51" w:firstLine="51"/>
        <w:contextualSpacing/>
        <w:jc w:val="center"/>
        <w:rPr>
          <w:rFonts w:ascii="Times New Roman" w:eastAsia="Times New Roman" w:hAnsi="Times New Roman" w:cs="Times New Roman"/>
          <w:b/>
          <w:sz w:val="28"/>
          <w:szCs w:val="28"/>
        </w:rPr>
      </w:pPr>
    </w:p>
    <w:p w14:paraId="0E6893B0" w14:textId="77777777" w:rsidR="001C6C42" w:rsidRPr="00561D18" w:rsidRDefault="001C6C42" w:rsidP="009D1716">
      <w:pPr>
        <w:spacing w:after="0" w:line="240" w:lineRule="auto"/>
        <w:ind w:left="-51" w:firstLine="51"/>
        <w:contextualSpacing/>
        <w:jc w:val="center"/>
        <w:rPr>
          <w:rFonts w:ascii="Times New Roman" w:eastAsia="Times New Roman" w:hAnsi="Times New Roman" w:cs="Times New Roman"/>
          <w:b/>
          <w:sz w:val="28"/>
          <w:szCs w:val="28"/>
        </w:rPr>
      </w:pPr>
    </w:p>
    <w:p w14:paraId="3A5190D1" w14:textId="3DDB9FE0" w:rsidR="00DD7B9C" w:rsidRPr="00561D18" w:rsidRDefault="000D27B1" w:rsidP="009D1716">
      <w:pPr>
        <w:spacing w:after="0" w:line="240" w:lineRule="auto"/>
        <w:ind w:left="741" w:right="601" w:firstLine="709"/>
        <w:contextualSpacing/>
        <w:jc w:val="both"/>
        <w:rPr>
          <w:rFonts w:ascii="Times New Roman" w:eastAsia="Times New Roman" w:hAnsi="Times New Roman" w:cs="Times New Roman"/>
          <w:sz w:val="28"/>
          <w:szCs w:val="28"/>
        </w:rPr>
      </w:pPr>
      <w:r w:rsidRPr="00561D18">
        <w:rPr>
          <w:rFonts w:ascii="Times New Roman" w:eastAsia="Times New Roman" w:hAnsi="Times New Roman" w:cs="Times New Roman"/>
          <w:b/>
          <w:sz w:val="28"/>
          <w:szCs w:val="28"/>
        </w:rPr>
        <w:t xml:space="preserve"> </w:t>
      </w:r>
    </w:p>
    <w:p w14:paraId="7A5F1AF5" w14:textId="77777777" w:rsidR="00DD7B9C" w:rsidRPr="00561D18" w:rsidRDefault="00DD7B9C" w:rsidP="009D1716">
      <w:pPr>
        <w:spacing w:after="0" w:line="240" w:lineRule="auto"/>
        <w:ind w:left="741" w:right="601" w:firstLine="709"/>
        <w:contextualSpacing/>
        <w:jc w:val="both"/>
        <w:rPr>
          <w:rFonts w:ascii="Times New Roman" w:eastAsia="Times New Roman" w:hAnsi="Times New Roman" w:cs="Times New Roman"/>
          <w:sz w:val="28"/>
          <w:szCs w:val="28"/>
        </w:rPr>
      </w:pPr>
    </w:p>
    <w:p w14:paraId="0DA1AE36" w14:textId="77777777" w:rsidR="00DD7B9C" w:rsidRPr="00561D18" w:rsidRDefault="00DD7B9C" w:rsidP="009D1716">
      <w:pPr>
        <w:spacing w:after="0" w:line="240" w:lineRule="auto"/>
        <w:ind w:left="741" w:right="601" w:firstLine="709"/>
        <w:contextualSpacing/>
        <w:jc w:val="both"/>
        <w:rPr>
          <w:rFonts w:ascii="Times New Roman" w:eastAsia="Times New Roman" w:hAnsi="Times New Roman" w:cs="Times New Roman"/>
          <w:sz w:val="28"/>
          <w:szCs w:val="28"/>
        </w:rPr>
      </w:pPr>
    </w:p>
    <w:p w14:paraId="58D0F06B" w14:textId="12DE807E" w:rsidR="00E31A1E" w:rsidRPr="007E4AAB" w:rsidRDefault="007917C7" w:rsidP="004816E4">
      <w:pPr>
        <w:tabs>
          <w:tab w:val="left" w:pos="284"/>
        </w:tabs>
        <w:spacing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Specialty</w:t>
      </w:r>
      <w:r w:rsidR="00E31A1E" w:rsidRPr="007E4AAB">
        <w:rPr>
          <w:rFonts w:ascii="Times New Roman" w:eastAsia="Times New Roman" w:hAnsi="Times New Roman" w:cs="Times New Roman"/>
          <w:sz w:val="28"/>
          <w:szCs w:val="28"/>
        </w:rPr>
        <w:t>: 6</w:t>
      </w:r>
      <w:r w:rsidR="00E31A1E" w:rsidRPr="00395555">
        <w:rPr>
          <w:rFonts w:ascii="Times New Roman" w:eastAsia="Times New Roman" w:hAnsi="Times New Roman" w:cs="Times New Roman"/>
          <w:sz w:val="28"/>
          <w:szCs w:val="28"/>
        </w:rPr>
        <w:t>D</w:t>
      </w:r>
      <w:r w:rsidR="00E31A1E" w:rsidRPr="007E4AAB">
        <w:rPr>
          <w:rFonts w:ascii="Times New Roman" w:eastAsia="Times New Roman" w:hAnsi="Times New Roman" w:cs="Times New Roman"/>
          <w:sz w:val="28"/>
          <w:szCs w:val="28"/>
        </w:rPr>
        <w:t xml:space="preserve">110100 </w:t>
      </w:r>
      <w:r w:rsidRPr="007E4AAB">
        <w:rPr>
          <w:rFonts w:ascii="Times New Roman" w:hAnsi="Times New Roman" w:cs="Times New Roman"/>
          <w:sz w:val="28"/>
          <w:szCs w:val="28"/>
        </w:rPr>
        <w:t>«</w:t>
      </w:r>
      <w:r>
        <w:rPr>
          <w:rFonts w:ascii="Times New Roman" w:eastAsia="Times New Roman" w:hAnsi="Times New Roman" w:cs="Times New Roman"/>
          <w:sz w:val="28"/>
          <w:szCs w:val="28"/>
        </w:rPr>
        <w:t>Medicine</w:t>
      </w:r>
      <w:r w:rsidRPr="007E4AAB">
        <w:rPr>
          <w:rFonts w:ascii="Times New Roman" w:hAnsi="Times New Roman" w:cs="Times New Roman"/>
          <w:sz w:val="28"/>
          <w:szCs w:val="28"/>
        </w:rPr>
        <w:t>»</w:t>
      </w:r>
    </w:p>
    <w:p w14:paraId="4BB45FA7" w14:textId="34E4B4C1" w:rsidR="004D501C" w:rsidRPr="007E4AAB" w:rsidRDefault="007917C7" w:rsidP="00E31A1E">
      <w:pPr>
        <w:spacing w:after="0" w:line="240" w:lineRule="auto"/>
        <w:ind w:right="60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Author</w:t>
      </w:r>
      <w:r w:rsidR="004D47DA" w:rsidRPr="007E4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PhD</w:t>
      </w:r>
      <w:r w:rsidRPr="007E4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student</w:t>
      </w:r>
      <w:r w:rsidRPr="007E4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Sheryazdanova</w:t>
      </w:r>
      <w:r w:rsidRPr="007E4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Dinara</w:t>
      </w:r>
      <w:r w:rsidRPr="007E4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Nurlanovna</w:t>
      </w:r>
    </w:p>
    <w:p w14:paraId="6173B464" w14:textId="16431691" w:rsidR="00395555" w:rsidRPr="0062138A" w:rsidRDefault="007917C7" w:rsidP="009D1716">
      <w:pPr>
        <w:tabs>
          <w:tab w:val="left" w:pos="284"/>
        </w:tabs>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Scientific adviser</w:t>
      </w:r>
      <w:r w:rsidR="00395555" w:rsidRPr="0062138A">
        <w:rPr>
          <w:rFonts w:ascii="Times New Roman" w:eastAsia="Times New Roman" w:hAnsi="Times New Roman" w:cs="Times New Roman"/>
          <w:sz w:val="28"/>
          <w:szCs w:val="28"/>
        </w:rPr>
        <w:t>:</w:t>
      </w:r>
      <w:r w:rsidR="004D47DA" w:rsidRPr="0062138A">
        <w:rPr>
          <w:rFonts w:ascii="Times New Roman" w:eastAsia="Times New Roman" w:hAnsi="Times New Roman" w:cs="Times New Roman"/>
          <w:sz w:val="28"/>
          <w:szCs w:val="28"/>
        </w:rPr>
        <w:t xml:space="preserve"> </w:t>
      </w:r>
    </w:p>
    <w:p w14:paraId="64CD7574" w14:textId="53461B4F" w:rsidR="0062138A" w:rsidRDefault="0062138A" w:rsidP="009D1716">
      <w:pPr>
        <w:tabs>
          <w:tab w:val="left" w:pos="284"/>
        </w:tabs>
        <w:spacing w:line="240" w:lineRule="auto"/>
        <w:contextualSpacing/>
        <w:jc w:val="both"/>
        <w:rPr>
          <w:rFonts w:ascii="Times New Roman" w:eastAsia="Times New Roman" w:hAnsi="Times New Roman" w:cs="Times New Roman"/>
          <w:sz w:val="28"/>
          <w:szCs w:val="28"/>
        </w:rPr>
      </w:pPr>
      <w:r w:rsidRPr="0062138A">
        <w:rPr>
          <w:rFonts w:ascii="Times New Roman" w:eastAsia="Times New Roman" w:hAnsi="Times New Roman" w:cs="Times New Roman"/>
          <w:sz w:val="28"/>
          <w:szCs w:val="28"/>
        </w:rPr>
        <w:t xml:space="preserve">Laryushina </w:t>
      </w:r>
      <w:r>
        <w:rPr>
          <w:rFonts w:ascii="Times New Roman" w:eastAsia="Times New Roman" w:hAnsi="Times New Roman" w:cs="Times New Roman"/>
          <w:sz w:val="28"/>
          <w:szCs w:val="28"/>
        </w:rPr>
        <w:t>Ye</w:t>
      </w:r>
      <w:r w:rsidRPr="0062138A">
        <w:rPr>
          <w:rFonts w:ascii="Times New Roman" w:eastAsia="Times New Roman" w:hAnsi="Times New Roman" w:cs="Times New Roman"/>
          <w:sz w:val="28"/>
          <w:szCs w:val="28"/>
        </w:rPr>
        <w:t xml:space="preserve">lena Mikhailovna, Candidate of Medical Sciences, </w:t>
      </w:r>
      <w:r>
        <w:rPr>
          <w:rFonts w:ascii="Times New Roman" w:eastAsia="Times New Roman" w:hAnsi="Times New Roman" w:cs="Times New Roman"/>
          <w:sz w:val="28"/>
          <w:szCs w:val="28"/>
          <w:lang w:val="ru-RU"/>
        </w:rPr>
        <w:t>Р</w:t>
      </w:r>
      <w:r w:rsidRPr="0062138A">
        <w:rPr>
          <w:rFonts w:ascii="Times New Roman" w:eastAsia="Times New Roman" w:hAnsi="Times New Roman" w:cs="Times New Roman"/>
          <w:sz w:val="28"/>
          <w:szCs w:val="28"/>
        </w:rPr>
        <w:t xml:space="preserve">rofessor, Head of Internal Medicine Department </w:t>
      </w:r>
      <w:r>
        <w:rPr>
          <w:rFonts w:ascii="Times New Roman" w:eastAsia="Times New Roman" w:hAnsi="Times New Roman" w:cs="Times New Roman"/>
          <w:sz w:val="28"/>
          <w:szCs w:val="28"/>
        </w:rPr>
        <w:t>of</w:t>
      </w:r>
      <w:r w:rsidRPr="0062138A">
        <w:rPr>
          <w:rFonts w:ascii="Times New Roman" w:eastAsia="Times New Roman" w:hAnsi="Times New Roman" w:cs="Times New Roman"/>
          <w:sz w:val="28"/>
          <w:szCs w:val="28"/>
        </w:rPr>
        <w:t xml:space="preserve"> </w:t>
      </w:r>
      <w:r w:rsidRPr="00561D18">
        <w:rPr>
          <w:rFonts w:ascii="Times New Roman" w:hAnsi="Times New Roman" w:cs="Times New Roman"/>
          <w:sz w:val="28"/>
          <w:szCs w:val="28"/>
        </w:rPr>
        <w:t>«</w:t>
      </w:r>
      <w:r w:rsidRPr="0062138A">
        <w:rPr>
          <w:rFonts w:ascii="Times New Roman" w:eastAsia="Times New Roman" w:hAnsi="Times New Roman" w:cs="Times New Roman"/>
          <w:sz w:val="28"/>
          <w:szCs w:val="28"/>
        </w:rPr>
        <w:t>Karaganda Medical University</w:t>
      </w:r>
      <w:r w:rsidRPr="00561D18">
        <w:rPr>
          <w:rFonts w:ascii="Times New Roman" w:hAnsi="Times New Roman" w:cs="Times New Roman"/>
          <w:sz w:val="28"/>
          <w:szCs w:val="28"/>
        </w:rPr>
        <w:t>»</w:t>
      </w:r>
      <w:r w:rsidRPr="0062138A">
        <w:rPr>
          <w:rFonts w:ascii="Times New Roman" w:eastAsia="Times New Roman" w:hAnsi="Times New Roman" w:cs="Times New Roman"/>
          <w:sz w:val="28"/>
          <w:szCs w:val="28"/>
        </w:rPr>
        <w:t xml:space="preserve"> N</w:t>
      </w:r>
      <w:r>
        <w:rPr>
          <w:rFonts w:ascii="Times New Roman" w:eastAsia="Times New Roman" w:hAnsi="Times New Roman" w:cs="Times New Roman"/>
          <w:sz w:val="28"/>
          <w:szCs w:val="28"/>
        </w:rPr>
        <w:t>C</w:t>
      </w:r>
      <w:r w:rsidRPr="0062138A">
        <w:rPr>
          <w:rFonts w:ascii="Times New Roman" w:eastAsia="Times New Roman" w:hAnsi="Times New Roman" w:cs="Times New Roman"/>
          <w:sz w:val="28"/>
          <w:szCs w:val="28"/>
        </w:rPr>
        <w:t>JSC</w:t>
      </w:r>
    </w:p>
    <w:p w14:paraId="01A3B0A6" w14:textId="671D297C" w:rsidR="00395555" w:rsidRPr="0062138A" w:rsidRDefault="007917C7" w:rsidP="009D1716">
      <w:pPr>
        <w:tabs>
          <w:tab w:val="left" w:pos="284"/>
        </w:tabs>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Scientific adviser</w:t>
      </w:r>
      <w:r w:rsidR="00395555" w:rsidRPr="0062138A">
        <w:rPr>
          <w:rFonts w:ascii="Times New Roman" w:eastAsia="Times New Roman" w:hAnsi="Times New Roman" w:cs="Times New Roman"/>
          <w:sz w:val="28"/>
          <w:szCs w:val="28"/>
        </w:rPr>
        <w:t>:</w:t>
      </w:r>
    </w:p>
    <w:p w14:paraId="0E28FFAB" w14:textId="31DF57A7" w:rsidR="004D47DA" w:rsidRPr="0062138A" w:rsidRDefault="009D1716" w:rsidP="009D1716">
      <w:pPr>
        <w:tabs>
          <w:tab w:val="left" w:pos="284"/>
        </w:tabs>
        <w:spacing w:line="240" w:lineRule="auto"/>
        <w:contextualSpacing/>
        <w:jc w:val="both"/>
        <w:rPr>
          <w:rFonts w:ascii="Times New Roman" w:eastAsia="Times New Roman" w:hAnsi="Times New Roman" w:cs="Times New Roman"/>
          <w:sz w:val="28"/>
          <w:szCs w:val="28"/>
        </w:rPr>
      </w:pPr>
      <w:r w:rsidRPr="00395555">
        <w:rPr>
          <w:rFonts w:ascii="Times New Roman" w:eastAsia="Times New Roman" w:hAnsi="Times New Roman" w:cs="Times New Roman"/>
          <w:noProof/>
          <w:sz w:val="28"/>
          <w:szCs w:val="28"/>
          <w:lang w:val="ru-RU"/>
        </w:rPr>
        <mc:AlternateContent>
          <mc:Choice Requires="wps">
            <w:drawing>
              <wp:anchor distT="0" distB="0" distL="114300" distR="114300" simplePos="0" relativeHeight="251662336" behindDoc="0" locked="0" layoutInCell="1" allowOverlap="1" wp14:anchorId="55E4F493" wp14:editId="5D8A9CB5">
                <wp:simplePos x="0" y="0"/>
                <wp:positionH relativeFrom="margin">
                  <wp:posOffset>-42904</wp:posOffset>
                </wp:positionH>
                <wp:positionV relativeFrom="paragraph">
                  <wp:posOffset>10037</wp:posOffset>
                </wp:positionV>
                <wp:extent cx="2469818" cy="204716"/>
                <wp:effectExtent l="0" t="0" r="26035" b="24130"/>
                <wp:wrapNone/>
                <wp:docPr id="599331555" name="Прямоугольник 599331555"/>
                <wp:cNvGraphicFramePr/>
                <a:graphic xmlns:a="http://schemas.openxmlformats.org/drawingml/2006/main">
                  <a:graphicData uri="http://schemas.microsoft.com/office/word/2010/wordprocessingShape">
                    <wps:wsp>
                      <wps:cNvSpPr/>
                      <wps:spPr>
                        <a:xfrm>
                          <a:off x="0" y="0"/>
                          <a:ext cx="2469818" cy="204716"/>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6F672" id="Прямоугольник 599331555" o:spid="_x0000_s1026" style="position:absolute;margin-left:-3.4pt;margin-top:.8pt;width:194.45pt;height:1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" filled="f" strokecolor="black [3200]" strokeweight="1pt">
                <w10:wrap anchorx="margin"/>
              </v:rect>
            </w:pict>
          </mc:Fallback>
        </mc:AlternateContent>
      </w:r>
      <w:r w:rsidR="004D47DA" w:rsidRPr="00395555">
        <w:rPr>
          <w:rFonts w:ascii="Times New Roman" w:eastAsia="Times New Roman" w:hAnsi="Times New Roman" w:cs="Times New Roman"/>
          <w:sz w:val="28"/>
          <w:szCs w:val="28"/>
          <w:lang w:val="ru-RU"/>
        </w:rPr>
        <w:t>Муравлёва</w:t>
      </w:r>
      <w:r w:rsidR="004D47DA" w:rsidRPr="0062138A">
        <w:rPr>
          <w:rFonts w:ascii="Times New Roman" w:eastAsia="Times New Roman" w:hAnsi="Times New Roman" w:cs="Times New Roman"/>
          <w:sz w:val="28"/>
          <w:szCs w:val="28"/>
        </w:rPr>
        <w:t xml:space="preserve"> </w:t>
      </w:r>
      <w:r w:rsidR="004D47DA" w:rsidRPr="00395555">
        <w:rPr>
          <w:rFonts w:ascii="Times New Roman" w:eastAsia="Times New Roman" w:hAnsi="Times New Roman" w:cs="Times New Roman"/>
          <w:sz w:val="28"/>
          <w:szCs w:val="28"/>
          <w:lang w:val="ru-RU"/>
        </w:rPr>
        <w:t>Лариса</w:t>
      </w:r>
      <w:r w:rsidR="004D47DA" w:rsidRPr="0062138A">
        <w:rPr>
          <w:rFonts w:ascii="Times New Roman" w:eastAsia="Times New Roman" w:hAnsi="Times New Roman" w:cs="Times New Roman"/>
          <w:sz w:val="28"/>
          <w:szCs w:val="28"/>
        </w:rPr>
        <w:t xml:space="preserve"> </w:t>
      </w:r>
      <w:r w:rsidR="004D47DA" w:rsidRPr="00395555">
        <w:rPr>
          <w:rFonts w:ascii="Times New Roman" w:eastAsia="Times New Roman" w:hAnsi="Times New Roman" w:cs="Times New Roman"/>
          <w:sz w:val="28"/>
          <w:szCs w:val="28"/>
          <w:lang w:val="ru-RU"/>
        </w:rPr>
        <w:t>Евгеньевна</w:t>
      </w:r>
      <w:r w:rsidR="004D47DA" w:rsidRPr="0062138A">
        <w:rPr>
          <w:rFonts w:ascii="Times New Roman" w:eastAsia="Times New Roman" w:hAnsi="Times New Roman" w:cs="Times New Roman"/>
          <w:sz w:val="28"/>
          <w:szCs w:val="28"/>
        </w:rPr>
        <w:t xml:space="preserve">  </w:t>
      </w:r>
      <w:r w:rsidR="00504204" w:rsidRPr="00504204">
        <w:rPr>
          <w:rFonts w:ascii="Times New Roman" w:eastAsia="Times New Roman" w:hAnsi="Times New Roman" w:cs="Times New Roman"/>
          <w:sz w:val="28"/>
          <w:szCs w:val="28"/>
        </w:rPr>
        <w:t>Doctor of Biological Sciences, Professor of  Biological Chemistry</w:t>
      </w:r>
      <w:r w:rsidR="00504204">
        <w:rPr>
          <w:rFonts w:ascii="Times New Roman" w:eastAsia="Times New Roman" w:hAnsi="Times New Roman" w:cs="Times New Roman"/>
          <w:sz w:val="28"/>
          <w:szCs w:val="28"/>
        </w:rPr>
        <w:t xml:space="preserve"> </w:t>
      </w:r>
      <w:r w:rsidR="00504204" w:rsidRPr="00504204">
        <w:rPr>
          <w:rFonts w:ascii="Times New Roman" w:eastAsia="Times New Roman" w:hAnsi="Times New Roman" w:cs="Times New Roman"/>
          <w:sz w:val="28"/>
          <w:szCs w:val="28"/>
        </w:rPr>
        <w:t>Department</w:t>
      </w:r>
      <w:r w:rsidR="004D47DA" w:rsidRPr="0062138A">
        <w:rPr>
          <w:rFonts w:ascii="Times New Roman" w:eastAsia="Times New Roman" w:hAnsi="Times New Roman" w:cs="Times New Roman"/>
          <w:sz w:val="28"/>
          <w:szCs w:val="28"/>
        </w:rPr>
        <w:t xml:space="preserve">, </w:t>
      </w:r>
      <w:r w:rsidR="0062138A" w:rsidRPr="00561D18">
        <w:rPr>
          <w:rFonts w:ascii="Times New Roman" w:hAnsi="Times New Roman" w:cs="Times New Roman"/>
          <w:sz w:val="28"/>
          <w:szCs w:val="28"/>
        </w:rPr>
        <w:t>«</w:t>
      </w:r>
      <w:r w:rsidR="0062138A" w:rsidRPr="0062138A">
        <w:rPr>
          <w:rFonts w:ascii="Times New Roman" w:eastAsia="Times New Roman" w:hAnsi="Times New Roman" w:cs="Times New Roman"/>
          <w:sz w:val="28"/>
          <w:szCs w:val="28"/>
        </w:rPr>
        <w:t>Karaganda Medical University</w:t>
      </w:r>
      <w:r w:rsidR="0062138A" w:rsidRPr="00561D18">
        <w:rPr>
          <w:rFonts w:ascii="Times New Roman" w:hAnsi="Times New Roman" w:cs="Times New Roman"/>
          <w:sz w:val="28"/>
          <w:szCs w:val="28"/>
        </w:rPr>
        <w:t>»</w:t>
      </w:r>
      <w:r w:rsidR="0062138A" w:rsidRPr="0062138A">
        <w:rPr>
          <w:rFonts w:ascii="Times New Roman" w:eastAsia="Times New Roman" w:hAnsi="Times New Roman" w:cs="Times New Roman"/>
          <w:sz w:val="28"/>
          <w:szCs w:val="28"/>
        </w:rPr>
        <w:t xml:space="preserve"> N</w:t>
      </w:r>
      <w:r w:rsidR="0062138A">
        <w:rPr>
          <w:rFonts w:ascii="Times New Roman" w:eastAsia="Times New Roman" w:hAnsi="Times New Roman" w:cs="Times New Roman"/>
          <w:sz w:val="28"/>
          <w:szCs w:val="28"/>
        </w:rPr>
        <w:t>C</w:t>
      </w:r>
      <w:r w:rsidR="0062138A" w:rsidRPr="0062138A">
        <w:rPr>
          <w:rFonts w:ascii="Times New Roman" w:eastAsia="Times New Roman" w:hAnsi="Times New Roman" w:cs="Times New Roman"/>
          <w:sz w:val="28"/>
          <w:szCs w:val="28"/>
        </w:rPr>
        <w:t>JSC</w:t>
      </w:r>
    </w:p>
    <w:p w14:paraId="3F3024B3" w14:textId="158524DA" w:rsidR="00395555" w:rsidRPr="000D27B1" w:rsidRDefault="007917C7" w:rsidP="009D1716">
      <w:pPr>
        <w:tabs>
          <w:tab w:val="left" w:pos="284"/>
        </w:tabs>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Scientific adviser</w:t>
      </w:r>
      <w:r w:rsidR="00395555" w:rsidRPr="000D27B1">
        <w:rPr>
          <w:rFonts w:ascii="Times New Roman" w:eastAsia="Times New Roman" w:hAnsi="Times New Roman" w:cs="Times New Roman"/>
          <w:sz w:val="28"/>
          <w:szCs w:val="28"/>
        </w:rPr>
        <w:t>:</w:t>
      </w:r>
    </w:p>
    <w:p w14:paraId="7A359918" w14:textId="39952462" w:rsidR="009D1716" w:rsidRPr="00395555" w:rsidRDefault="009D1716" w:rsidP="009D1716">
      <w:pPr>
        <w:tabs>
          <w:tab w:val="left" w:pos="284"/>
        </w:tabs>
        <w:spacing w:line="240" w:lineRule="auto"/>
        <w:contextualSpacing/>
        <w:jc w:val="both"/>
        <w:rPr>
          <w:rFonts w:ascii="Times New Roman" w:eastAsia="Times New Roman" w:hAnsi="Times New Roman" w:cs="Times New Roman"/>
          <w:sz w:val="28"/>
          <w:szCs w:val="28"/>
        </w:rPr>
      </w:pPr>
      <w:r w:rsidRPr="00395555">
        <w:rPr>
          <w:rFonts w:ascii="Times New Roman" w:hAnsi="Times New Roman" w:cs="Times New Roman"/>
          <w:sz w:val="28"/>
          <w:szCs w:val="28"/>
        </w:rPr>
        <w:t>Vaiva Hendrixson</w:t>
      </w:r>
      <w:r w:rsidRPr="00395555">
        <w:rPr>
          <w:rFonts w:ascii="Times New Roman" w:eastAsia="Times New Roman" w:hAnsi="Times New Roman" w:cs="Times New Roman"/>
          <w:sz w:val="28"/>
          <w:szCs w:val="28"/>
        </w:rPr>
        <w:t>, MD, РhD, professor of Faculty of Medicine, Vilnius University, Vilnius, Lithuania.</w:t>
      </w:r>
    </w:p>
    <w:p w14:paraId="1567BE36" w14:textId="77777777" w:rsidR="004D47DA" w:rsidRPr="00785327" w:rsidRDefault="004D47DA" w:rsidP="004D47DA">
      <w:pPr>
        <w:tabs>
          <w:tab w:val="left" w:pos="284"/>
        </w:tabs>
        <w:jc w:val="both"/>
        <w:rPr>
          <w:rFonts w:ascii="Times New Roman" w:eastAsia="Times New Roman" w:hAnsi="Times New Roman" w:cs="Times New Roman"/>
          <w:b/>
          <w:bCs/>
          <w:sz w:val="28"/>
          <w:szCs w:val="28"/>
        </w:rPr>
      </w:pPr>
    </w:p>
    <w:p w14:paraId="61C657D1"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sz w:val="28"/>
          <w:szCs w:val="28"/>
        </w:rPr>
      </w:pPr>
    </w:p>
    <w:p w14:paraId="79337DE0" w14:textId="77777777" w:rsidR="001C6C42" w:rsidRPr="00785327" w:rsidRDefault="001C6C42" w:rsidP="004D501C">
      <w:pPr>
        <w:spacing w:after="0" w:line="240" w:lineRule="auto"/>
        <w:jc w:val="both"/>
        <w:rPr>
          <w:rFonts w:ascii="Times New Roman" w:eastAsia="Times New Roman" w:hAnsi="Times New Roman" w:cs="Times New Roman"/>
          <w:b/>
          <w:sz w:val="28"/>
          <w:szCs w:val="28"/>
        </w:rPr>
      </w:pPr>
    </w:p>
    <w:p w14:paraId="1924C6F4"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32F147D9"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6D5E1510"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4D5B00B8"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37378110" w14:textId="77777777" w:rsidR="004D501C"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7797BC9B" w14:textId="77777777" w:rsidR="001C6C42" w:rsidRPr="00785327" w:rsidRDefault="001C6C42" w:rsidP="004D501C">
      <w:pPr>
        <w:spacing w:after="0" w:line="240" w:lineRule="auto"/>
        <w:ind w:left="741" w:right="601" w:firstLine="709"/>
        <w:jc w:val="both"/>
        <w:rPr>
          <w:rFonts w:ascii="Times New Roman" w:eastAsia="Times New Roman" w:hAnsi="Times New Roman" w:cs="Times New Roman"/>
          <w:b/>
          <w:sz w:val="28"/>
          <w:szCs w:val="28"/>
        </w:rPr>
      </w:pPr>
    </w:p>
    <w:p w14:paraId="675F2411"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47F79789"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007D4A2D"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619346EF"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5C2044BD" w14:textId="1F1010B8" w:rsidR="004D501C" w:rsidRPr="00DF7C7E" w:rsidRDefault="003B2EE0" w:rsidP="004D501C">
      <w:pPr>
        <w:spacing w:after="0" w:line="240" w:lineRule="auto"/>
        <w:ind w:right="60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Republic of Kazakhstan</w:t>
      </w:r>
    </w:p>
    <w:p w14:paraId="6CF0D7CA" w14:textId="270AA2B1" w:rsidR="004C484B" w:rsidRPr="00DF7C7E" w:rsidRDefault="003B2EE0" w:rsidP="00D91367">
      <w:pPr>
        <w:spacing w:after="0" w:line="240" w:lineRule="auto"/>
        <w:ind w:right="601"/>
        <w:jc w:val="center"/>
        <w:rPr>
          <w:rFonts w:ascii="Times New Roman" w:eastAsia="Times New Roman" w:hAnsi="Times New Roman" w:cs="Times New Roman"/>
          <w:b/>
          <w:sz w:val="24"/>
          <w:szCs w:val="24"/>
        </w:rPr>
      </w:pPr>
      <w:r>
        <w:rPr>
          <w:rFonts w:ascii="Times New Roman" w:eastAsia="Times New Roman" w:hAnsi="Times New Roman" w:cs="Times New Roman"/>
          <w:sz w:val="28"/>
          <w:szCs w:val="28"/>
        </w:rPr>
        <w:t>Karaganda</w:t>
      </w:r>
      <w:r w:rsidR="004D501C" w:rsidRPr="00DF7C7E">
        <w:rPr>
          <w:rFonts w:ascii="Times New Roman" w:eastAsia="Times New Roman" w:hAnsi="Times New Roman" w:cs="Times New Roman"/>
          <w:sz w:val="28"/>
          <w:szCs w:val="28"/>
        </w:rPr>
        <w:t>, 2023</w:t>
      </w:r>
      <w:r w:rsidR="004D501C" w:rsidRPr="00DF7C7E">
        <w:rPr>
          <w:rFonts w:ascii="Times New Roman" w:eastAsia="Times New Roman" w:hAnsi="Times New Roman" w:cs="Times New Roman"/>
          <w:sz w:val="28"/>
          <w:szCs w:val="28"/>
        </w:rPr>
        <w:br w:type="page"/>
      </w:r>
    </w:p>
    <w:p w14:paraId="2DFBD688" w14:textId="71DB6878" w:rsidR="00395555" w:rsidRPr="00DF7C7E" w:rsidRDefault="00DF7C7E"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b/>
          <w:bCs/>
          <w:sz w:val="28"/>
          <w:szCs w:val="28"/>
        </w:rPr>
      </w:pPr>
      <w:r w:rsidRPr="00DF7C7E">
        <w:rPr>
          <w:rFonts w:ascii="Times New Roman" w:eastAsia="Times New Roman" w:hAnsi="Times New Roman" w:cs="Times New Roman"/>
          <w:b/>
          <w:bCs/>
          <w:sz w:val="28"/>
          <w:szCs w:val="28"/>
        </w:rPr>
        <w:lastRenderedPageBreak/>
        <w:t>Relevance of the study</w:t>
      </w:r>
    </w:p>
    <w:p w14:paraId="01AC3B81" w14:textId="77777777" w:rsidR="00A67BD7" w:rsidRPr="00DF7C7E" w:rsidRDefault="00A67BD7"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b/>
          <w:bCs/>
          <w:sz w:val="28"/>
          <w:szCs w:val="28"/>
        </w:rPr>
      </w:pPr>
    </w:p>
    <w:p w14:paraId="102E5962" w14:textId="57382FA9" w:rsidR="00A165F4" w:rsidRDefault="00A165F4" w:rsidP="00A165F4">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A165F4">
        <w:rPr>
          <w:rFonts w:ascii="Times New Roman" w:eastAsia="Times New Roman" w:hAnsi="Times New Roman" w:cs="Times New Roman"/>
          <w:sz w:val="28"/>
          <w:szCs w:val="28"/>
        </w:rPr>
        <w:t>According to the World Health Organization, diabetes mellitus (DM) is recognized as one of the significant causes of morbidity and mortality from non-communicable diseases worldwide [1]. The incidence of diabetes in 2021, as reported by the World Diabetes Federation, is 537 million adults aged 20–79 years; every tenth person in the world lives with diabetes. Additionally, another 541 million people are at high risk of type 2 diabetes due to impaired carbohydrate metabolism [2].</w:t>
      </w:r>
      <w:r>
        <w:rPr>
          <w:rFonts w:ascii="Times New Roman" w:eastAsia="Times New Roman" w:hAnsi="Times New Roman" w:cs="Times New Roman"/>
          <w:sz w:val="28"/>
          <w:szCs w:val="28"/>
        </w:rPr>
        <w:t xml:space="preserve"> </w:t>
      </w:r>
      <w:r w:rsidRPr="00A165F4">
        <w:rPr>
          <w:rFonts w:ascii="Times New Roman" w:eastAsia="Times New Roman" w:hAnsi="Times New Roman" w:cs="Times New Roman"/>
          <w:sz w:val="28"/>
          <w:szCs w:val="28"/>
        </w:rPr>
        <w:t>The treatment of patients with diabetes imposes a substantial burden on the budgets of national healthcare systems. Each country spends at least &lt;5% annually on diabetes treatment [3].</w:t>
      </w:r>
    </w:p>
    <w:p w14:paraId="1E349A81" w14:textId="77777777" w:rsidR="001B7FA6" w:rsidRDefault="00A4164F" w:rsidP="00A4164F">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A4164F">
        <w:rPr>
          <w:rFonts w:ascii="Times New Roman" w:eastAsia="Times New Roman" w:hAnsi="Times New Roman" w:cs="Times New Roman"/>
          <w:sz w:val="28"/>
          <w:szCs w:val="28"/>
        </w:rPr>
        <w:t>Typically, the onset of diabetes is preceded by a prolonged prediabetic phase. Furthermore, prediabetes, along with type 2 diabetes, is considered a pathological condition that serves as an independent predictor of adverse cardiovascular outcomes [4]. Among the most common complications associated with prediabetes are myocardial infarction, stroke, chronic kidney failure, diabetic foot with the development of gangrene, loss of vision, and neuropathy.</w:t>
      </w:r>
      <w:r w:rsidR="00861C18" w:rsidRPr="00A4164F">
        <w:rPr>
          <w:rFonts w:ascii="Times New Roman" w:eastAsia="Times New Roman" w:hAnsi="Times New Roman" w:cs="Times New Roman"/>
          <w:sz w:val="28"/>
          <w:szCs w:val="28"/>
        </w:rPr>
        <w:t xml:space="preserve"> </w:t>
      </w:r>
      <w:r w:rsidRPr="00A4164F">
        <w:rPr>
          <w:rFonts w:ascii="Times New Roman" w:eastAsia="Times New Roman" w:hAnsi="Times New Roman" w:cs="Times New Roman"/>
          <w:sz w:val="28"/>
          <w:szCs w:val="28"/>
        </w:rPr>
        <w:t>Diabetes poses an extreme danger in the case of untimely diagnosis, which, in turn, carries the risk of developing macrovascular and microvascular complications and may elevate the overall risk of premature mortality [5].</w:t>
      </w:r>
    </w:p>
    <w:p w14:paraId="241FAD10" w14:textId="77777777" w:rsidR="001B7FA6" w:rsidRPr="001B7FA6" w:rsidRDefault="001B7FA6"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1B7FA6">
        <w:rPr>
          <w:rFonts w:ascii="Times New Roman" w:eastAsia="Times New Roman" w:hAnsi="Times New Roman" w:cs="Times New Roman"/>
          <w:sz w:val="28"/>
          <w:szCs w:val="28"/>
        </w:rPr>
        <w:t>The significance of the association between diabetes and cardiovascular pathology is undeniable and can be illustrated by the results of renowned studies, such as the Framingham Study and the Multiple Risk Factor Intervention Trial (MRFIT). Lethal outcomes in patients with diabetes are more frequently attributed to macrovascular complications rather than microvascular ones, suggesting that factors aimed at minimizing the macrovascular complications of diabetes play a decisive role in disease prognosis [6].</w:t>
      </w:r>
    </w:p>
    <w:p w14:paraId="4D5B2D77" w14:textId="77777777" w:rsidR="001B7FA6" w:rsidRPr="00E171E1" w:rsidRDefault="001B7FA6" w:rsidP="001B7FA6">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E171E1">
        <w:rPr>
          <w:rFonts w:ascii="Times New Roman" w:eastAsia="Times New Roman" w:hAnsi="Times New Roman" w:cs="Times New Roman"/>
          <w:sz w:val="28"/>
          <w:szCs w:val="28"/>
        </w:rPr>
        <w:t>Given the data from a large cohort of studies assessing cardiovascular risk, contemporary endocrinology acknowledges that high and very high cardiovascular event risk is characteristic of all patients with diabetes [7]. To mitigate this risk, reducing hyperglycemia and achieving the target level of glycated hemoglobin is recommended.</w:t>
      </w:r>
    </w:p>
    <w:p w14:paraId="16202492" w14:textId="77777777" w:rsidR="00E171E1" w:rsidRPr="00E171E1" w:rsidRDefault="001B7FA6" w:rsidP="001B7FA6">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E171E1">
        <w:rPr>
          <w:rFonts w:ascii="Times New Roman" w:eastAsia="Times New Roman" w:hAnsi="Times New Roman" w:cs="Times New Roman"/>
          <w:sz w:val="28"/>
          <w:szCs w:val="28"/>
        </w:rPr>
        <w:t>Nevertheless, a subgroup of patients with satisfactory glycemic control, where the frequency of negative cardiovascular events remains elevated, has not received adequate attention. Several groups of glycemic regulation biomarkers, including insulin resistance, incretins, and indicators of glycemic variability, are considered as potential markers for assessing cardiovascular risk in these patients.</w:t>
      </w:r>
    </w:p>
    <w:p w14:paraId="77081116" w14:textId="77777777" w:rsidR="00706066" w:rsidRPr="00706066" w:rsidRDefault="00706066"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706066">
        <w:rPr>
          <w:rFonts w:ascii="Times New Roman" w:eastAsia="Times New Roman" w:hAnsi="Times New Roman" w:cs="Times New Roman"/>
          <w:sz w:val="28"/>
          <w:szCs w:val="28"/>
        </w:rPr>
        <w:t>The primary pathogenetic factor in diabetes is considered to be an elevation in insulin concentration. Excessive insulin production occurs significantly earlier than hyperglycemia; however, in clinical practice, diabetes diagnosis relies solely on glucose levels and not insulin levels [8]. Researchers evaluate hyperinsulinemia and the subsequent development of insulin resistance as independent risk factors for vascular endothelial damage [9]. In turn, endothelial dysfunction may lead to cardiovascular complications through the phenomenon of pathological glycemic variability.</w:t>
      </w:r>
    </w:p>
    <w:p w14:paraId="10D07F14" w14:textId="77777777" w:rsidR="00706066" w:rsidRPr="007E4AAB" w:rsidRDefault="00706066" w:rsidP="00706066">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p>
    <w:p w14:paraId="4134779C" w14:textId="77777777" w:rsidR="00706066" w:rsidRPr="00706066" w:rsidRDefault="00706066" w:rsidP="00706066">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706066">
        <w:rPr>
          <w:rFonts w:ascii="Times New Roman" w:eastAsia="Times New Roman" w:hAnsi="Times New Roman" w:cs="Times New Roman"/>
          <w:sz w:val="28"/>
          <w:szCs w:val="28"/>
        </w:rPr>
        <w:t>Moderate fluctuations in glycemia are a physiological phenomenon. For healthy individuals, their range is defined within 3.3–7.8 mmol/L. Glycemic values outside this physiological range are rarely encountered. However, in patients with diabetes, the amplitude of glycemic values significantly increases [10]. Glycemic variability (GV) is typically measured through continuous glucose monitoring; however, it can also be assessed through the concentration of carbohydrate metabolism markers, with one of the most promising being 1,5-anhydro-D-sorbitol (1,5-AG) [11].</w:t>
      </w:r>
    </w:p>
    <w:p w14:paraId="011D9007" w14:textId="77777777" w:rsidR="00706066" w:rsidRPr="007E4AAB" w:rsidRDefault="00706066" w:rsidP="00706066">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p>
    <w:p w14:paraId="662B039E" w14:textId="77777777" w:rsidR="00706066" w:rsidRPr="00706066" w:rsidRDefault="00706066" w:rsidP="00706066">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706066">
        <w:rPr>
          <w:rFonts w:ascii="Times New Roman" w:eastAsia="Times New Roman" w:hAnsi="Times New Roman" w:cs="Times New Roman"/>
          <w:sz w:val="28"/>
          <w:szCs w:val="28"/>
        </w:rPr>
        <w:t>Research has shown that 1,5-anhydro-D-sorbitol (1,5-AG) primarily enters the body through dietary sources, and its chemical structure ensures metabolic stability, with its consumption rate being equivalent to daily excretion. Renal reabsorption of 1,5-AG is 99.9%; however, there is a process of competitive inhibition of 1,5-AG reabsorption in the presence of glucosuria. Based on these findings, Japanese research groups demonstrated a reduction in the serum concentration of 1,5-AG in patients with hyperglycemia compared to those with normal carbohydrate metabolism.</w:t>
      </w:r>
    </w:p>
    <w:p w14:paraId="2E4BA86E" w14:textId="77777777" w:rsidR="00706066" w:rsidRPr="00706066" w:rsidRDefault="00706066" w:rsidP="00706066">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r w:rsidRPr="00706066">
        <w:rPr>
          <w:rFonts w:ascii="Times New Roman" w:eastAsia="Times New Roman" w:hAnsi="Times New Roman" w:cs="Times New Roman"/>
          <w:sz w:val="28"/>
          <w:szCs w:val="28"/>
        </w:rPr>
        <w:t>Thus, 1,5-AG may serve as a valuable marker for assessing short-term glycemic fluctuations, as it has the ability to reflect not only glycemic control but also its excursion. It may hold clinical significance in evaluating treatment effectiveness by reflecting postprandial glycemia in diabetes [12-13].</w:t>
      </w:r>
    </w:p>
    <w:p w14:paraId="07616CE8" w14:textId="77777777" w:rsidR="005C7334" w:rsidRPr="00682EA8" w:rsidRDefault="005C7334" w:rsidP="005C7334">
      <w:pPr>
        <w:tabs>
          <w:tab w:val="left" w:pos="284"/>
        </w:tabs>
        <w:spacing w:after="0" w:line="240" w:lineRule="auto"/>
        <w:ind w:firstLine="720"/>
        <w:contextualSpacing/>
        <w:jc w:val="both"/>
        <w:rPr>
          <w:rFonts w:ascii="Times New Roman" w:eastAsia="Times New Roman" w:hAnsi="Times New Roman" w:cs="Times New Roman"/>
          <w:sz w:val="28"/>
          <w:szCs w:val="28"/>
        </w:rPr>
      </w:pPr>
      <w:r w:rsidRPr="00682EA8">
        <w:rPr>
          <w:rFonts w:ascii="Times New Roman" w:eastAsia="Times New Roman" w:hAnsi="Times New Roman" w:cs="Times New Roman"/>
          <w:sz w:val="28"/>
          <w:szCs w:val="28"/>
        </w:rPr>
        <w:t>Some researchers link the pathogenetic mechanisms of glycemic variability to fluctuations in insulin levels in individuals with diabetes. However, the mechanism of glycemic variability appears to be a more intricate process than the sole influence of hyperinsulinemia [14].</w:t>
      </w:r>
    </w:p>
    <w:p w14:paraId="54DB792C" w14:textId="77777777" w:rsidR="005C7334" w:rsidRPr="00682EA8" w:rsidRDefault="005C7334" w:rsidP="005C7334">
      <w:pPr>
        <w:tabs>
          <w:tab w:val="left" w:pos="284"/>
        </w:tabs>
        <w:spacing w:after="0" w:line="240" w:lineRule="auto"/>
        <w:ind w:firstLine="720"/>
        <w:contextualSpacing/>
        <w:jc w:val="both"/>
        <w:rPr>
          <w:rFonts w:ascii="Times New Roman" w:eastAsia="Times New Roman" w:hAnsi="Times New Roman" w:cs="Times New Roman"/>
          <w:sz w:val="28"/>
          <w:szCs w:val="28"/>
        </w:rPr>
      </w:pPr>
      <w:r w:rsidRPr="00682EA8">
        <w:rPr>
          <w:rFonts w:ascii="Times New Roman" w:eastAsia="Times New Roman" w:hAnsi="Times New Roman" w:cs="Times New Roman"/>
          <w:sz w:val="28"/>
          <w:szCs w:val="28"/>
        </w:rPr>
        <w:t>Glycemic fluctuations are influenced not only by insulin but also by incretin hormones, which demonstrate potential cardioprotective effects in patients with type 2 diabetes (T2D). Studies indicate a positive impact of glucagon-like peptide-1 (GLP-1) receptor agonists on cardiovascular mortality and renal outcomes in patients with T2D [15].</w:t>
      </w:r>
    </w:p>
    <w:p w14:paraId="29810293" w14:textId="43FCDA93" w:rsidR="00A67BD7" w:rsidRPr="00682EA8" w:rsidRDefault="005C7334" w:rsidP="005C7334">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682EA8">
        <w:rPr>
          <w:rFonts w:ascii="Times New Roman" w:eastAsia="Times New Roman" w:hAnsi="Times New Roman" w:cs="Times New Roman"/>
          <w:sz w:val="28"/>
          <w:szCs w:val="28"/>
        </w:rPr>
        <w:t>Considering these findings, the investigation of glycemic variability, insulin resistance, and incretin response in individuals with impaired carbohydrate metabolism and negative cardiovascular events can be deemed a promising area of research [16].</w:t>
      </w:r>
    </w:p>
    <w:p w14:paraId="083DA412" w14:textId="77777777" w:rsidR="00BA2F63" w:rsidRPr="00682EA8" w:rsidRDefault="00BA2F63" w:rsidP="00861C18">
      <w:pPr>
        <w:tabs>
          <w:tab w:val="left" w:pos="284"/>
        </w:tabs>
        <w:spacing w:after="0" w:line="240" w:lineRule="auto"/>
        <w:ind w:firstLine="720"/>
        <w:contextualSpacing/>
        <w:jc w:val="both"/>
        <w:rPr>
          <w:rFonts w:ascii="Times New Roman" w:eastAsia="Times New Roman" w:hAnsi="Times New Roman" w:cs="Times New Roman"/>
          <w:b/>
          <w:sz w:val="28"/>
          <w:szCs w:val="28"/>
        </w:rPr>
      </w:pPr>
    </w:p>
    <w:p w14:paraId="3120F407" w14:textId="63A71EB0" w:rsidR="00A67BD7" w:rsidRPr="00FD5404" w:rsidRDefault="00FD5404" w:rsidP="00861C18">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FD5404">
        <w:rPr>
          <w:rFonts w:ascii="Times New Roman" w:eastAsia="Times New Roman" w:hAnsi="Times New Roman" w:cs="Times New Roman"/>
          <w:b/>
          <w:sz w:val="28"/>
          <w:szCs w:val="28"/>
        </w:rPr>
        <w:t xml:space="preserve">Research </w:t>
      </w:r>
      <w:r w:rsidR="00D04B8D">
        <w:rPr>
          <w:rFonts w:ascii="Times New Roman" w:eastAsia="Times New Roman" w:hAnsi="Times New Roman" w:cs="Times New Roman"/>
          <w:b/>
          <w:sz w:val="28"/>
          <w:szCs w:val="28"/>
        </w:rPr>
        <w:t>aim</w:t>
      </w:r>
      <w:r w:rsidRPr="00FD5404">
        <w:rPr>
          <w:rFonts w:ascii="Times New Roman" w:eastAsia="Times New Roman" w:hAnsi="Times New Roman" w:cs="Times New Roman"/>
          <w:b/>
          <w:sz w:val="28"/>
          <w:szCs w:val="28"/>
        </w:rPr>
        <w:t xml:space="preserve">: </w:t>
      </w:r>
      <w:r w:rsidRPr="00FD5404">
        <w:rPr>
          <w:rFonts w:ascii="Times New Roman" w:eastAsia="Times New Roman" w:hAnsi="Times New Roman" w:cs="Times New Roman"/>
          <w:bCs/>
          <w:sz w:val="28"/>
          <w:szCs w:val="28"/>
        </w:rPr>
        <w:t>To investigate markers reflecting glycemic variability, insulin resistance, and counterregulatory response in the risk assessment of cardiovascular events among patients with type 2 diabetes and prediabetes.</w:t>
      </w:r>
    </w:p>
    <w:p w14:paraId="061C0870" w14:textId="77777777" w:rsidR="00D04B8D" w:rsidRDefault="00D04B8D" w:rsidP="00861C18">
      <w:pPr>
        <w:tabs>
          <w:tab w:val="left" w:pos="284"/>
        </w:tabs>
        <w:spacing w:after="0" w:line="240" w:lineRule="auto"/>
        <w:ind w:firstLine="720"/>
        <w:contextualSpacing/>
        <w:jc w:val="both"/>
        <w:rPr>
          <w:rFonts w:ascii="Times New Roman" w:eastAsia="Times New Roman" w:hAnsi="Times New Roman" w:cs="Times New Roman"/>
          <w:b/>
          <w:sz w:val="28"/>
          <w:szCs w:val="28"/>
        </w:rPr>
      </w:pPr>
    </w:p>
    <w:p w14:paraId="72EC3B49" w14:textId="41A4DD15" w:rsidR="00A67BD7" w:rsidRDefault="00D04B8D" w:rsidP="00861C18">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D04B8D">
        <w:rPr>
          <w:rFonts w:ascii="Times New Roman" w:eastAsia="Times New Roman" w:hAnsi="Times New Roman" w:cs="Times New Roman"/>
          <w:b/>
          <w:sz w:val="28"/>
          <w:szCs w:val="28"/>
        </w:rPr>
        <w:t xml:space="preserve">Research </w:t>
      </w:r>
      <w:r w:rsidR="007E4AAB">
        <w:rPr>
          <w:rFonts w:ascii="Times New Roman" w:eastAsia="Times New Roman" w:hAnsi="Times New Roman" w:cs="Times New Roman"/>
          <w:b/>
          <w:sz w:val="28"/>
          <w:szCs w:val="28"/>
          <w:lang w:val="ru-RU"/>
        </w:rPr>
        <w:t>о</w:t>
      </w:r>
      <w:r w:rsidRPr="00D04B8D">
        <w:rPr>
          <w:rFonts w:ascii="Times New Roman" w:eastAsia="Times New Roman" w:hAnsi="Times New Roman" w:cs="Times New Roman"/>
          <w:b/>
          <w:sz w:val="28"/>
          <w:szCs w:val="28"/>
        </w:rPr>
        <w:t>bjectives:</w:t>
      </w:r>
    </w:p>
    <w:p w14:paraId="751A1CF7" w14:textId="3732B463" w:rsidR="00D04B8D" w:rsidRPr="00D04B8D" w:rsidRDefault="00D04B8D" w:rsidP="00D04B8D">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D04B8D">
        <w:rPr>
          <w:rFonts w:ascii="Times New Roman" w:eastAsia="Times New Roman" w:hAnsi="Times New Roman" w:cs="Times New Roman"/>
          <w:b/>
          <w:sz w:val="28"/>
          <w:szCs w:val="28"/>
        </w:rPr>
        <w:t xml:space="preserve">Research </w:t>
      </w:r>
      <w:r w:rsidR="007E4AAB">
        <w:rPr>
          <w:rFonts w:ascii="Times New Roman" w:eastAsia="Times New Roman" w:hAnsi="Times New Roman" w:cs="Times New Roman"/>
          <w:b/>
          <w:sz w:val="28"/>
          <w:szCs w:val="28"/>
        </w:rPr>
        <w:t>o</w:t>
      </w:r>
      <w:r w:rsidRPr="00D04B8D">
        <w:rPr>
          <w:rFonts w:ascii="Times New Roman" w:eastAsia="Times New Roman" w:hAnsi="Times New Roman" w:cs="Times New Roman"/>
          <w:b/>
          <w:sz w:val="28"/>
          <w:szCs w:val="28"/>
        </w:rPr>
        <w:t xml:space="preserve">bjective 1: </w:t>
      </w:r>
      <w:r w:rsidRPr="00D04B8D">
        <w:rPr>
          <w:rFonts w:ascii="Times New Roman" w:eastAsia="Times New Roman" w:hAnsi="Times New Roman" w:cs="Times New Roman"/>
          <w:bCs/>
          <w:sz w:val="28"/>
          <w:szCs w:val="28"/>
        </w:rPr>
        <w:t>To evaluate the concentrations of glucose and glycated hemoglobin and assess the association of these parameters with the probability of cardiovascular events in patients with type 2 diabetes who have achieved target glycemic levels.</w:t>
      </w:r>
    </w:p>
    <w:p w14:paraId="23239273" w14:textId="79B8BB3A" w:rsidR="008855AA" w:rsidRPr="008855AA" w:rsidRDefault="008855AA" w:rsidP="008855AA">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8855AA">
        <w:rPr>
          <w:rFonts w:ascii="Times New Roman" w:eastAsia="Times New Roman" w:hAnsi="Times New Roman" w:cs="Times New Roman"/>
          <w:b/>
          <w:sz w:val="28"/>
          <w:szCs w:val="28"/>
        </w:rPr>
        <w:lastRenderedPageBreak/>
        <w:t xml:space="preserve">Research </w:t>
      </w:r>
      <w:r w:rsidR="007E4AAB">
        <w:rPr>
          <w:rFonts w:ascii="Times New Roman" w:eastAsia="Times New Roman" w:hAnsi="Times New Roman" w:cs="Times New Roman"/>
          <w:b/>
          <w:sz w:val="28"/>
          <w:szCs w:val="28"/>
        </w:rPr>
        <w:t>o</w:t>
      </w:r>
      <w:r w:rsidRPr="008855AA">
        <w:rPr>
          <w:rFonts w:ascii="Times New Roman" w:eastAsia="Times New Roman" w:hAnsi="Times New Roman" w:cs="Times New Roman"/>
          <w:b/>
          <w:sz w:val="28"/>
          <w:szCs w:val="28"/>
        </w:rPr>
        <w:t xml:space="preserve">bjective 2: </w:t>
      </w:r>
      <w:r w:rsidRPr="008855AA">
        <w:rPr>
          <w:rFonts w:ascii="Times New Roman" w:eastAsia="Times New Roman" w:hAnsi="Times New Roman" w:cs="Times New Roman"/>
          <w:bCs/>
          <w:sz w:val="28"/>
          <w:szCs w:val="28"/>
        </w:rPr>
        <w:t>To assess the level of glycemic variability reflected by 1,5-AG and the probability of developing cardiovascular events in patients with type 2 diabetes.</w:t>
      </w:r>
    </w:p>
    <w:p w14:paraId="19A99603" w14:textId="2D21618F" w:rsidR="00D67770" w:rsidRPr="007E4AAB" w:rsidRDefault="007E4AAB" w:rsidP="00D67770">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8855AA">
        <w:rPr>
          <w:rFonts w:ascii="Times New Roman" w:eastAsia="Times New Roman" w:hAnsi="Times New Roman" w:cs="Times New Roman"/>
          <w:b/>
          <w:sz w:val="28"/>
          <w:szCs w:val="28"/>
        </w:rPr>
        <w:t xml:space="preserve">Research </w:t>
      </w:r>
      <w:r>
        <w:rPr>
          <w:rFonts w:ascii="Times New Roman" w:eastAsia="Times New Roman" w:hAnsi="Times New Roman" w:cs="Times New Roman"/>
          <w:b/>
          <w:sz w:val="28"/>
          <w:szCs w:val="28"/>
        </w:rPr>
        <w:t>o</w:t>
      </w:r>
      <w:r w:rsidRPr="008855AA">
        <w:rPr>
          <w:rFonts w:ascii="Times New Roman" w:eastAsia="Times New Roman" w:hAnsi="Times New Roman" w:cs="Times New Roman"/>
          <w:b/>
          <w:sz w:val="28"/>
          <w:szCs w:val="28"/>
        </w:rPr>
        <w:t xml:space="preserve">bjective </w:t>
      </w:r>
      <w:r>
        <w:rPr>
          <w:rFonts w:ascii="Times New Roman" w:eastAsia="Times New Roman" w:hAnsi="Times New Roman" w:cs="Times New Roman"/>
          <w:b/>
          <w:sz w:val="28"/>
          <w:szCs w:val="28"/>
        </w:rPr>
        <w:t>3</w:t>
      </w:r>
      <w:r w:rsidRPr="008855AA">
        <w:rPr>
          <w:rFonts w:ascii="Times New Roman" w:eastAsia="Times New Roman" w:hAnsi="Times New Roman" w:cs="Times New Roman"/>
          <w:b/>
          <w:sz w:val="28"/>
          <w:szCs w:val="28"/>
        </w:rPr>
        <w:t>:</w:t>
      </w:r>
      <w:r w:rsidR="00D67770" w:rsidRPr="00D67770">
        <w:rPr>
          <w:rFonts w:ascii="Times New Roman" w:eastAsia="Times New Roman" w:hAnsi="Times New Roman" w:cs="Times New Roman"/>
          <w:b/>
          <w:sz w:val="28"/>
          <w:szCs w:val="28"/>
        </w:rPr>
        <w:t xml:space="preserve"> </w:t>
      </w:r>
      <w:r w:rsidR="00D67770" w:rsidRPr="00D67770">
        <w:rPr>
          <w:rFonts w:ascii="Times New Roman" w:eastAsia="Times New Roman" w:hAnsi="Times New Roman" w:cs="Times New Roman"/>
          <w:bCs/>
          <w:sz w:val="28"/>
          <w:szCs w:val="28"/>
        </w:rPr>
        <w:t>To investigate indicators of insulin resistance and counterregulatory response and their relationship with 1,5-AG in patients with type 2 diabetes with and without cardiovascular events.</w:t>
      </w:r>
    </w:p>
    <w:p w14:paraId="7B7EBA04" w14:textId="5BE3BA80" w:rsidR="00D67770" w:rsidRPr="007E4AAB" w:rsidRDefault="007E4AAB" w:rsidP="00D67770">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8855AA">
        <w:rPr>
          <w:rFonts w:ascii="Times New Roman" w:eastAsia="Times New Roman" w:hAnsi="Times New Roman" w:cs="Times New Roman"/>
          <w:b/>
          <w:sz w:val="28"/>
          <w:szCs w:val="28"/>
        </w:rPr>
        <w:t xml:space="preserve">Research </w:t>
      </w:r>
      <w:r>
        <w:rPr>
          <w:rFonts w:ascii="Times New Roman" w:eastAsia="Times New Roman" w:hAnsi="Times New Roman" w:cs="Times New Roman"/>
          <w:b/>
          <w:sz w:val="28"/>
          <w:szCs w:val="28"/>
        </w:rPr>
        <w:t>o</w:t>
      </w:r>
      <w:r w:rsidRPr="008855AA">
        <w:rPr>
          <w:rFonts w:ascii="Times New Roman" w:eastAsia="Times New Roman" w:hAnsi="Times New Roman" w:cs="Times New Roman"/>
          <w:b/>
          <w:sz w:val="28"/>
          <w:szCs w:val="28"/>
        </w:rPr>
        <w:t xml:space="preserve">bjective </w:t>
      </w:r>
      <w:r w:rsidR="00D67770" w:rsidRPr="00D67770">
        <w:rPr>
          <w:rFonts w:ascii="Times New Roman" w:eastAsia="Times New Roman" w:hAnsi="Times New Roman" w:cs="Times New Roman"/>
          <w:b/>
          <w:sz w:val="28"/>
          <w:szCs w:val="28"/>
        </w:rPr>
        <w:t xml:space="preserve">4: </w:t>
      </w:r>
      <w:r w:rsidR="00D67770" w:rsidRPr="00D67770">
        <w:rPr>
          <w:rFonts w:ascii="Times New Roman" w:eastAsia="Times New Roman" w:hAnsi="Times New Roman" w:cs="Times New Roman"/>
          <w:bCs/>
          <w:sz w:val="28"/>
          <w:szCs w:val="28"/>
        </w:rPr>
        <w:t>To assess the level of glycemic variability reflected by 1,5-AG and the probability of developing cardiovascular events in patients with prediabetes.</w:t>
      </w:r>
    </w:p>
    <w:p w14:paraId="754E7DD1" w14:textId="3F7D1449" w:rsidR="00A67BD7" w:rsidRPr="00D67770" w:rsidRDefault="007E4AAB" w:rsidP="00D67770">
      <w:pPr>
        <w:tabs>
          <w:tab w:val="left" w:pos="284"/>
        </w:tabs>
        <w:spacing w:after="0" w:line="240" w:lineRule="auto"/>
        <w:ind w:firstLine="720"/>
        <w:contextualSpacing/>
        <w:jc w:val="both"/>
        <w:rPr>
          <w:rFonts w:ascii="Times New Roman" w:eastAsia="Times New Roman" w:hAnsi="Times New Roman" w:cs="Times New Roman"/>
          <w:sz w:val="28"/>
          <w:szCs w:val="28"/>
        </w:rPr>
      </w:pPr>
      <w:r w:rsidRPr="008855AA">
        <w:rPr>
          <w:rFonts w:ascii="Times New Roman" w:eastAsia="Times New Roman" w:hAnsi="Times New Roman" w:cs="Times New Roman"/>
          <w:b/>
          <w:sz w:val="28"/>
          <w:szCs w:val="28"/>
        </w:rPr>
        <w:t xml:space="preserve">Research </w:t>
      </w:r>
      <w:r>
        <w:rPr>
          <w:rFonts w:ascii="Times New Roman" w:eastAsia="Times New Roman" w:hAnsi="Times New Roman" w:cs="Times New Roman"/>
          <w:b/>
          <w:sz w:val="28"/>
          <w:szCs w:val="28"/>
        </w:rPr>
        <w:t>o</w:t>
      </w:r>
      <w:r w:rsidRPr="008855AA">
        <w:rPr>
          <w:rFonts w:ascii="Times New Roman" w:eastAsia="Times New Roman" w:hAnsi="Times New Roman" w:cs="Times New Roman"/>
          <w:b/>
          <w:sz w:val="28"/>
          <w:szCs w:val="28"/>
        </w:rPr>
        <w:t>bjective</w:t>
      </w:r>
      <w:r w:rsidR="00D67770" w:rsidRPr="00D67770">
        <w:rPr>
          <w:rFonts w:ascii="Times New Roman" w:eastAsia="Times New Roman" w:hAnsi="Times New Roman" w:cs="Times New Roman"/>
          <w:b/>
          <w:sz w:val="28"/>
          <w:szCs w:val="28"/>
        </w:rPr>
        <w:t xml:space="preserve"> 5: </w:t>
      </w:r>
      <w:r w:rsidR="00D67770" w:rsidRPr="00D67770">
        <w:rPr>
          <w:rFonts w:ascii="Times New Roman" w:eastAsia="Times New Roman" w:hAnsi="Times New Roman" w:cs="Times New Roman"/>
          <w:bCs/>
          <w:sz w:val="28"/>
          <w:szCs w:val="28"/>
        </w:rPr>
        <w:t>To investigate indicators of insulin resistance and counterregulatory response and their relationship with 1,5-AG in patients with prediabetes with and without cardiovascular events.</w:t>
      </w:r>
    </w:p>
    <w:p w14:paraId="7A051C79" w14:textId="77777777" w:rsidR="00D67770" w:rsidRPr="007E4AAB" w:rsidRDefault="00D67770" w:rsidP="00E15689">
      <w:pPr>
        <w:pStyle w:val="aa"/>
        <w:ind w:firstLine="709"/>
        <w:jc w:val="both"/>
        <w:rPr>
          <w:rFonts w:ascii="Times New Roman" w:hAnsi="Times New Roman"/>
          <w:b/>
          <w:sz w:val="28"/>
          <w:szCs w:val="28"/>
          <w:shd w:val="clear" w:color="auto" w:fill="FFFFFF"/>
          <w:lang w:val="en-US"/>
        </w:rPr>
      </w:pPr>
    </w:p>
    <w:p w14:paraId="09F84545" w14:textId="77777777" w:rsidR="00D67770" w:rsidRPr="007E4AAB" w:rsidRDefault="00D67770" w:rsidP="00E15689">
      <w:pPr>
        <w:pStyle w:val="aa"/>
        <w:ind w:firstLine="709"/>
        <w:jc w:val="both"/>
        <w:rPr>
          <w:rFonts w:ascii="Times New Roman" w:hAnsi="Times New Roman"/>
          <w:b/>
          <w:sz w:val="28"/>
          <w:szCs w:val="28"/>
          <w:shd w:val="clear" w:color="auto" w:fill="FFFFFF"/>
          <w:lang w:val="en-US"/>
        </w:rPr>
      </w:pPr>
    </w:p>
    <w:p w14:paraId="329EB90D" w14:textId="0E2C65BD" w:rsidR="00A67BD7" w:rsidRPr="0029649A" w:rsidRDefault="00D67770" w:rsidP="00E15689">
      <w:pPr>
        <w:pStyle w:val="aa"/>
        <w:ind w:firstLine="709"/>
        <w:jc w:val="both"/>
        <w:rPr>
          <w:rFonts w:ascii="Times New Roman" w:hAnsi="Times New Roman"/>
          <w:b/>
          <w:sz w:val="28"/>
          <w:szCs w:val="28"/>
          <w:shd w:val="clear" w:color="auto" w:fill="FFFFFF"/>
        </w:rPr>
      </w:pPr>
      <w:r>
        <w:rPr>
          <w:rFonts w:ascii="Times New Roman" w:hAnsi="Times New Roman"/>
          <w:b/>
          <w:sz w:val="28"/>
          <w:szCs w:val="28"/>
          <w:shd w:val="clear" w:color="auto" w:fill="FFFFFF"/>
          <w:lang w:val="en-US"/>
        </w:rPr>
        <w:t>Scientific</w:t>
      </w:r>
      <w:r w:rsidRPr="0029649A">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lang w:val="en-US"/>
        </w:rPr>
        <w:t>originality</w:t>
      </w:r>
    </w:p>
    <w:p w14:paraId="4A67EDB1" w14:textId="77777777" w:rsidR="00D67770" w:rsidRDefault="00D67770" w:rsidP="00D67770">
      <w:pPr>
        <w:pStyle w:val="a8"/>
        <w:spacing w:after="0" w:line="240" w:lineRule="auto"/>
        <w:ind w:left="426"/>
        <w:jc w:val="both"/>
        <w:rPr>
          <w:rFonts w:ascii="Times New Roman" w:eastAsia="Times New Roman" w:hAnsi="Times New Roman" w:cs="Times New Roman"/>
          <w:sz w:val="28"/>
          <w:szCs w:val="28"/>
          <w:lang w:val="ru-RU"/>
        </w:rPr>
      </w:pPr>
    </w:p>
    <w:p w14:paraId="537809CE" w14:textId="77777777" w:rsidR="00E700A0" w:rsidRPr="00E700A0" w:rsidRDefault="00E700A0" w:rsidP="00E700A0">
      <w:pPr>
        <w:pStyle w:val="a8"/>
        <w:numPr>
          <w:ilvl w:val="0"/>
          <w:numId w:val="7"/>
        </w:numPr>
        <w:spacing w:after="0" w:line="240" w:lineRule="auto"/>
        <w:ind w:left="426"/>
        <w:jc w:val="both"/>
        <w:rPr>
          <w:rFonts w:ascii="Times New Roman" w:eastAsia="Times New Roman" w:hAnsi="Times New Roman" w:cs="Times New Roman"/>
          <w:sz w:val="28"/>
          <w:szCs w:val="28"/>
        </w:rPr>
      </w:pPr>
      <w:r w:rsidRPr="00E700A0">
        <w:rPr>
          <w:rFonts w:ascii="Times New Roman" w:eastAsia="Times New Roman" w:hAnsi="Times New Roman" w:cs="Times New Roman"/>
          <w:sz w:val="28"/>
          <w:szCs w:val="28"/>
        </w:rPr>
        <w:t>For the first time, a comprehensive assessment of carbohydrate metabolism regulatory biomarkers, including indicators of insulin resistance, counterregulatory response, and 1,5-anhydro-D-sorbitol (1,5-AG) concentration, was provided in patients with type 2 diabetes with non-fatal cardiovascular events and without.</w:t>
      </w:r>
    </w:p>
    <w:p w14:paraId="57451B9F" w14:textId="77777777" w:rsidR="00E700A0" w:rsidRPr="00E700A0" w:rsidRDefault="00E700A0" w:rsidP="00E700A0">
      <w:pPr>
        <w:pStyle w:val="a8"/>
        <w:numPr>
          <w:ilvl w:val="0"/>
          <w:numId w:val="7"/>
        </w:numPr>
        <w:spacing w:after="0" w:line="240" w:lineRule="auto"/>
        <w:ind w:left="426"/>
        <w:jc w:val="both"/>
        <w:rPr>
          <w:rFonts w:ascii="Times New Roman" w:eastAsia="Times New Roman" w:hAnsi="Times New Roman" w:cs="Times New Roman"/>
          <w:sz w:val="28"/>
          <w:szCs w:val="28"/>
        </w:rPr>
      </w:pPr>
      <w:r w:rsidRPr="00E700A0">
        <w:rPr>
          <w:rFonts w:ascii="Times New Roman" w:eastAsia="Times New Roman" w:hAnsi="Times New Roman" w:cs="Times New Roman"/>
          <w:sz w:val="28"/>
          <w:szCs w:val="28"/>
        </w:rPr>
        <w:t>The concentration of 1,5-AG was investigated for the first time, establishing a connection between 1,5-AG and the development of cardiovascular events in patients with prediabetes.</w:t>
      </w:r>
    </w:p>
    <w:p w14:paraId="18F12AA3" w14:textId="77777777" w:rsidR="00E700A0" w:rsidRPr="00E700A0" w:rsidRDefault="00E700A0" w:rsidP="00E700A0">
      <w:pPr>
        <w:pStyle w:val="a8"/>
        <w:numPr>
          <w:ilvl w:val="0"/>
          <w:numId w:val="7"/>
        </w:numPr>
        <w:spacing w:after="0" w:line="240" w:lineRule="auto"/>
        <w:ind w:left="426"/>
        <w:jc w:val="both"/>
        <w:rPr>
          <w:rFonts w:ascii="Times New Roman" w:eastAsia="Times New Roman" w:hAnsi="Times New Roman" w:cs="Times New Roman"/>
          <w:sz w:val="28"/>
          <w:szCs w:val="28"/>
        </w:rPr>
      </w:pPr>
      <w:r w:rsidRPr="00E700A0">
        <w:rPr>
          <w:rFonts w:ascii="Times New Roman" w:eastAsia="Times New Roman" w:hAnsi="Times New Roman" w:cs="Times New Roman"/>
          <w:sz w:val="28"/>
          <w:szCs w:val="28"/>
        </w:rPr>
        <w:t>A logistic regression model was calculated for the first time to assess the probability of cardiovascular events in patients with type 2 diabetes, considering the concentration of 1,5-AG and the homeostatic model assessment of insulin resistance (HOMA-IR) index.</w:t>
      </w:r>
    </w:p>
    <w:p w14:paraId="72D3E58E" w14:textId="77777777" w:rsidR="00E700A0" w:rsidRPr="00E700A0" w:rsidRDefault="00E700A0" w:rsidP="00E700A0">
      <w:pPr>
        <w:pStyle w:val="a8"/>
        <w:numPr>
          <w:ilvl w:val="0"/>
          <w:numId w:val="7"/>
        </w:numPr>
        <w:spacing w:after="0" w:line="240" w:lineRule="auto"/>
        <w:ind w:left="426"/>
        <w:jc w:val="both"/>
        <w:rPr>
          <w:rFonts w:ascii="Times New Roman" w:eastAsia="Times New Roman" w:hAnsi="Times New Roman" w:cs="Times New Roman"/>
          <w:sz w:val="28"/>
          <w:szCs w:val="28"/>
        </w:rPr>
      </w:pPr>
      <w:r w:rsidRPr="00E700A0">
        <w:rPr>
          <w:rFonts w:ascii="Times New Roman" w:eastAsia="Times New Roman" w:hAnsi="Times New Roman" w:cs="Times New Roman"/>
          <w:sz w:val="28"/>
          <w:szCs w:val="28"/>
        </w:rPr>
        <w:t>A logistic regression model was calculated for the first time to assess the probability of cardiovascular events in patients with prediabetes, considering the concentration of 1,5-AG and glucagon-like peptide-1.</w:t>
      </w:r>
    </w:p>
    <w:p w14:paraId="7EC14456" w14:textId="77777777" w:rsidR="00E700A0" w:rsidRPr="00E700A0" w:rsidRDefault="00E700A0" w:rsidP="00E700A0">
      <w:pPr>
        <w:pStyle w:val="a8"/>
        <w:numPr>
          <w:ilvl w:val="0"/>
          <w:numId w:val="7"/>
        </w:numPr>
        <w:spacing w:after="0" w:line="240" w:lineRule="auto"/>
        <w:ind w:left="426"/>
        <w:jc w:val="both"/>
        <w:rPr>
          <w:rFonts w:ascii="Times New Roman" w:eastAsia="Times New Roman" w:hAnsi="Times New Roman" w:cs="Times New Roman"/>
          <w:sz w:val="28"/>
          <w:szCs w:val="28"/>
        </w:rPr>
      </w:pPr>
      <w:r w:rsidRPr="00E700A0">
        <w:rPr>
          <w:rFonts w:ascii="Times New Roman" w:eastAsia="Times New Roman" w:hAnsi="Times New Roman" w:cs="Times New Roman"/>
          <w:sz w:val="28"/>
          <w:szCs w:val="28"/>
        </w:rPr>
        <w:t>Threshold values for the concentration of 1,5-AG associated with the development of cardiovascular events in patients with type 2 diabetes and prediabetes were determined for the first time.</w:t>
      </w:r>
    </w:p>
    <w:p w14:paraId="105445E5" w14:textId="77777777" w:rsidR="00E700A0" w:rsidRPr="007E4AAB" w:rsidRDefault="00E700A0" w:rsidP="00E15689">
      <w:pPr>
        <w:spacing w:after="0" w:line="240" w:lineRule="auto"/>
        <w:ind w:firstLine="709"/>
        <w:jc w:val="both"/>
        <w:rPr>
          <w:rFonts w:ascii="Times New Roman" w:hAnsi="Times New Roman" w:cs="Times New Roman"/>
          <w:b/>
          <w:sz w:val="28"/>
          <w:szCs w:val="28"/>
          <w:shd w:val="clear" w:color="auto" w:fill="FFFFFF"/>
        </w:rPr>
      </w:pPr>
    </w:p>
    <w:p w14:paraId="293EED28" w14:textId="3C73178F" w:rsidR="00E15689" w:rsidRDefault="00E700A0" w:rsidP="00E15689">
      <w:pPr>
        <w:spacing w:after="0" w:line="240" w:lineRule="auto"/>
        <w:ind w:firstLine="709"/>
        <w:jc w:val="both"/>
        <w:rPr>
          <w:rFonts w:ascii="Times New Roman" w:hAnsi="Times New Roman" w:cs="Times New Roman"/>
          <w:b/>
          <w:sz w:val="28"/>
          <w:szCs w:val="28"/>
          <w:shd w:val="clear" w:color="auto" w:fill="FFFFFF"/>
          <w:lang w:val="ru-RU"/>
        </w:rPr>
      </w:pPr>
      <w:r w:rsidRPr="00E700A0">
        <w:rPr>
          <w:rFonts w:ascii="Times New Roman" w:hAnsi="Times New Roman" w:cs="Times New Roman"/>
          <w:b/>
          <w:sz w:val="28"/>
          <w:szCs w:val="28"/>
          <w:shd w:val="clear" w:color="auto" w:fill="FFFFFF"/>
          <w:lang w:val="ru-RU"/>
        </w:rPr>
        <w:t>Main provisions submitted for defense</w:t>
      </w:r>
    </w:p>
    <w:p w14:paraId="6F9247F0" w14:textId="77777777" w:rsidR="00BA2F63" w:rsidRPr="00785327" w:rsidRDefault="00BA2F63" w:rsidP="00E15689">
      <w:pPr>
        <w:spacing w:after="0" w:line="240" w:lineRule="auto"/>
        <w:ind w:firstLine="709"/>
        <w:jc w:val="both"/>
        <w:rPr>
          <w:rFonts w:ascii="Times New Roman" w:hAnsi="Times New Roman" w:cs="Times New Roman"/>
          <w:b/>
          <w:sz w:val="28"/>
          <w:szCs w:val="28"/>
          <w:shd w:val="clear" w:color="auto" w:fill="FFFFFF"/>
          <w:lang w:val="ru-RU"/>
        </w:rPr>
      </w:pPr>
    </w:p>
    <w:p w14:paraId="0FAE1B01" w14:textId="77777777" w:rsidR="00FE522D" w:rsidRPr="00B82EC7" w:rsidRDefault="00FE522D" w:rsidP="00B82EC7">
      <w:pPr>
        <w:pStyle w:val="a8"/>
        <w:numPr>
          <w:ilvl w:val="0"/>
          <w:numId w:val="8"/>
        </w:numPr>
        <w:pBdr>
          <w:between w:val="nil"/>
        </w:pBdr>
        <w:tabs>
          <w:tab w:val="left" w:pos="426"/>
        </w:tabs>
        <w:spacing w:after="0" w:line="240" w:lineRule="auto"/>
        <w:ind w:left="426"/>
        <w:jc w:val="both"/>
        <w:rPr>
          <w:rFonts w:ascii="Times New Roman" w:eastAsia="Times New Roman" w:hAnsi="Times New Roman" w:cs="Times New Roman"/>
          <w:sz w:val="28"/>
          <w:szCs w:val="28"/>
        </w:rPr>
      </w:pPr>
      <w:r w:rsidRPr="00B82EC7">
        <w:rPr>
          <w:rFonts w:ascii="Times New Roman" w:eastAsia="Times New Roman" w:hAnsi="Times New Roman" w:cs="Times New Roman"/>
          <w:sz w:val="28"/>
          <w:szCs w:val="28"/>
        </w:rPr>
        <w:t xml:space="preserve">A reduction in the level of 1,5-anhydro-D-sorbitol (1,5-AG) increases the likelihood of developing cardiovascular events in patients with type 2 diabetes who have achieved the target level of glycated hemoglobin. The risk factor for non-fatal cardiovascular events in patients with type 2 diabetes is a 1,5-AG level below 353.11 </w:t>
      </w:r>
      <w:r w:rsidRPr="00B82EC7">
        <w:rPr>
          <w:rFonts w:ascii="Times New Roman" w:eastAsia="Times New Roman" w:hAnsi="Times New Roman" w:cs="Times New Roman"/>
          <w:sz w:val="28"/>
          <w:szCs w:val="28"/>
          <w:lang w:val="ru-RU"/>
        </w:rPr>
        <w:t>μ</w:t>
      </w:r>
      <w:r w:rsidRPr="00B82EC7">
        <w:rPr>
          <w:rFonts w:ascii="Times New Roman" w:eastAsia="Times New Roman" w:hAnsi="Times New Roman" w:cs="Times New Roman"/>
          <w:sz w:val="28"/>
          <w:szCs w:val="28"/>
        </w:rPr>
        <w:t>mol/L.</w:t>
      </w:r>
    </w:p>
    <w:p w14:paraId="56C6E53B" w14:textId="77777777" w:rsidR="00FE522D" w:rsidRPr="00B82EC7" w:rsidRDefault="00FE522D" w:rsidP="00B82EC7">
      <w:pPr>
        <w:pStyle w:val="a8"/>
        <w:numPr>
          <w:ilvl w:val="0"/>
          <w:numId w:val="8"/>
        </w:numPr>
        <w:pBdr>
          <w:between w:val="nil"/>
        </w:pBdr>
        <w:tabs>
          <w:tab w:val="left" w:pos="426"/>
        </w:tabs>
        <w:spacing w:after="0" w:line="240" w:lineRule="auto"/>
        <w:ind w:left="426"/>
        <w:jc w:val="both"/>
        <w:rPr>
          <w:rFonts w:ascii="Times New Roman" w:eastAsia="Times New Roman" w:hAnsi="Times New Roman" w:cs="Times New Roman"/>
          <w:sz w:val="28"/>
          <w:szCs w:val="28"/>
        </w:rPr>
      </w:pPr>
      <w:r w:rsidRPr="00B82EC7">
        <w:rPr>
          <w:rFonts w:ascii="Times New Roman" w:eastAsia="Times New Roman" w:hAnsi="Times New Roman" w:cs="Times New Roman"/>
          <w:sz w:val="28"/>
          <w:szCs w:val="28"/>
        </w:rPr>
        <w:t xml:space="preserve">In patients with type 2 diabetes, an increase in the likelihood of cardiovascular events, along with a decrease in the concentration of 1,5-AG, is associated with </w:t>
      </w:r>
      <w:r w:rsidRPr="00B82EC7">
        <w:rPr>
          <w:rFonts w:ascii="Times New Roman" w:eastAsia="Times New Roman" w:hAnsi="Times New Roman" w:cs="Times New Roman"/>
          <w:sz w:val="28"/>
          <w:szCs w:val="28"/>
        </w:rPr>
        <w:lastRenderedPageBreak/>
        <w:t>an elevation in the homeostatic model assessment of insulin resistance (HOMA-IR) index.</w:t>
      </w:r>
    </w:p>
    <w:p w14:paraId="01BDE379" w14:textId="77777777" w:rsidR="00FE522D" w:rsidRPr="00B82EC7" w:rsidRDefault="00FE522D" w:rsidP="00B82EC7">
      <w:pPr>
        <w:pStyle w:val="a8"/>
        <w:numPr>
          <w:ilvl w:val="0"/>
          <w:numId w:val="8"/>
        </w:numPr>
        <w:pBdr>
          <w:between w:val="nil"/>
        </w:pBdr>
        <w:tabs>
          <w:tab w:val="left" w:pos="426"/>
        </w:tabs>
        <w:spacing w:after="0" w:line="240" w:lineRule="auto"/>
        <w:ind w:left="426"/>
        <w:jc w:val="both"/>
        <w:rPr>
          <w:rFonts w:ascii="Times New Roman" w:eastAsia="Times New Roman" w:hAnsi="Times New Roman" w:cs="Times New Roman"/>
          <w:sz w:val="28"/>
          <w:szCs w:val="28"/>
        </w:rPr>
      </w:pPr>
      <w:r w:rsidRPr="00B82EC7">
        <w:rPr>
          <w:rFonts w:ascii="Times New Roman" w:eastAsia="Times New Roman" w:hAnsi="Times New Roman" w:cs="Times New Roman"/>
          <w:sz w:val="28"/>
          <w:szCs w:val="28"/>
        </w:rPr>
        <w:t xml:space="preserve">A decrease in the level of 1,5-AG in patients with prediabetes increases the chances of developing cardiovascular events. The risk factor for non-fatal cardiovascular events in patients with prediabetes is a 1,5-AG level below 413.03 </w:t>
      </w:r>
      <w:r w:rsidRPr="00B82EC7">
        <w:rPr>
          <w:rFonts w:ascii="Times New Roman" w:eastAsia="Times New Roman" w:hAnsi="Times New Roman" w:cs="Times New Roman"/>
          <w:sz w:val="28"/>
          <w:szCs w:val="28"/>
          <w:lang w:val="ru-RU"/>
        </w:rPr>
        <w:t>μ</w:t>
      </w:r>
      <w:r w:rsidRPr="00B82EC7">
        <w:rPr>
          <w:rFonts w:ascii="Times New Roman" w:eastAsia="Times New Roman" w:hAnsi="Times New Roman" w:cs="Times New Roman"/>
          <w:sz w:val="28"/>
          <w:szCs w:val="28"/>
        </w:rPr>
        <w:t>mol/L.</w:t>
      </w:r>
    </w:p>
    <w:p w14:paraId="730D81F9" w14:textId="77777777" w:rsidR="00FE522D" w:rsidRPr="00B82EC7" w:rsidRDefault="00FE522D" w:rsidP="00B82EC7">
      <w:pPr>
        <w:pStyle w:val="a8"/>
        <w:numPr>
          <w:ilvl w:val="0"/>
          <w:numId w:val="8"/>
        </w:numPr>
        <w:pBdr>
          <w:between w:val="nil"/>
        </w:pBdr>
        <w:tabs>
          <w:tab w:val="left" w:pos="426"/>
        </w:tabs>
        <w:spacing w:after="0" w:line="240" w:lineRule="auto"/>
        <w:ind w:left="426"/>
        <w:jc w:val="both"/>
        <w:rPr>
          <w:rFonts w:ascii="Times New Roman" w:eastAsia="Times New Roman" w:hAnsi="Times New Roman" w:cs="Times New Roman"/>
          <w:sz w:val="28"/>
          <w:szCs w:val="28"/>
        </w:rPr>
      </w:pPr>
      <w:r w:rsidRPr="00B82EC7">
        <w:rPr>
          <w:rFonts w:ascii="Times New Roman" w:eastAsia="Times New Roman" w:hAnsi="Times New Roman" w:cs="Times New Roman"/>
          <w:sz w:val="28"/>
          <w:szCs w:val="28"/>
        </w:rPr>
        <w:t>In patients with prediabetes, an increase in the likelihood of cardiovascular events, along with a decrease in the concentration of 1,5-AG, is associated with an elevation in the concentration of glucagon-like peptide-1.</w:t>
      </w:r>
    </w:p>
    <w:p w14:paraId="567C21E3" w14:textId="2FAACB8E" w:rsidR="00670894" w:rsidRPr="00FE522D" w:rsidRDefault="00670894" w:rsidP="00670894">
      <w:pPr>
        <w:pBdr>
          <w:between w:val="nil"/>
        </w:pBdr>
        <w:tabs>
          <w:tab w:val="left" w:pos="284"/>
        </w:tabs>
        <w:spacing w:after="0" w:line="240" w:lineRule="auto"/>
        <w:ind w:firstLine="851"/>
        <w:contextualSpacing/>
        <w:jc w:val="both"/>
        <w:rPr>
          <w:rFonts w:ascii="Times New Roman" w:eastAsia="Times New Roman" w:hAnsi="Times New Roman" w:cs="Times New Roman"/>
          <w:sz w:val="28"/>
          <w:szCs w:val="28"/>
        </w:rPr>
      </w:pPr>
      <w:r w:rsidRPr="00FE522D">
        <w:rPr>
          <w:rFonts w:ascii="Times New Roman" w:eastAsia="Times New Roman" w:hAnsi="Times New Roman" w:cs="Times New Roman"/>
          <w:sz w:val="28"/>
          <w:szCs w:val="28"/>
        </w:rPr>
        <w:t xml:space="preserve">  </w:t>
      </w:r>
    </w:p>
    <w:p w14:paraId="57F09DEF" w14:textId="786F1910" w:rsidR="00A67BD7" w:rsidRDefault="00C36838" w:rsidP="00E15689">
      <w:pPr>
        <w:spacing w:after="0" w:line="240" w:lineRule="auto"/>
        <w:ind w:firstLine="709"/>
        <w:jc w:val="both"/>
        <w:rPr>
          <w:rFonts w:ascii="Times New Roman" w:hAnsi="Times New Roman" w:cs="Times New Roman"/>
          <w:b/>
          <w:sz w:val="28"/>
          <w:szCs w:val="28"/>
        </w:rPr>
      </w:pPr>
      <w:r w:rsidRPr="00C36838">
        <w:rPr>
          <w:rFonts w:ascii="Times New Roman" w:hAnsi="Times New Roman" w:cs="Times New Roman"/>
          <w:b/>
          <w:sz w:val="28"/>
          <w:szCs w:val="28"/>
        </w:rPr>
        <w:t>Practical relevance</w:t>
      </w:r>
    </w:p>
    <w:p w14:paraId="70BBE556" w14:textId="77777777" w:rsidR="00C36838" w:rsidRPr="00182072" w:rsidRDefault="00C36838" w:rsidP="00E15689">
      <w:pPr>
        <w:spacing w:after="0" w:line="240" w:lineRule="auto"/>
        <w:ind w:firstLine="709"/>
        <w:jc w:val="both"/>
        <w:rPr>
          <w:rFonts w:ascii="Times New Roman" w:hAnsi="Times New Roman" w:cs="Times New Roman"/>
          <w:b/>
          <w:sz w:val="28"/>
          <w:szCs w:val="28"/>
          <w:lang w:val="ru-RU"/>
        </w:rPr>
      </w:pPr>
    </w:p>
    <w:p w14:paraId="1B31180A" w14:textId="55F595B0" w:rsidR="00C36838" w:rsidRPr="0054157F" w:rsidRDefault="00C36838" w:rsidP="0054157F">
      <w:pPr>
        <w:pStyle w:val="a8"/>
        <w:numPr>
          <w:ilvl w:val="0"/>
          <w:numId w:val="2"/>
        </w:numPr>
        <w:tabs>
          <w:tab w:val="left" w:pos="426"/>
        </w:tabs>
        <w:spacing w:after="0" w:line="240" w:lineRule="auto"/>
        <w:ind w:left="426"/>
        <w:jc w:val="both"/>
        <w:rPr>
          <w:rFonts w:ascii="Times New Roman" w:eastAsia="Times New Roman" w:hAnsi="Times New Roman" w:cs="Times New Roman"/>
          <w:sz w:val="28"/>
          <w:szCs w:val="28"/>
        </w:rPr>
      </w:pPr>
      <w:r w:rsidRPr="0054157F">
        <w:rPr>
          <w:rFonts w:ascii="Times New Roman" w:eastAsia="Times New Roman" w:hAnsi="Times New Roman" w:cs="Times New Roman"/>
          <w:sz w:val="28"/>
          <w:szCs w:val="28"/>
        </w:rPr>
        <w:t>The determination of 1,5-anhydro-D-sorbitol (1,5-AG) concentration and homeostatic model assessment of insulin resistance (HOMA-IR) index in patients with type 2 diabetes, and 1,5-AG and glucagon-like peptide in patients with prediabetes, should be considered as promising predictors for the development of non-fatal cardiovascular events.</w:t>
      </w:r>
    </w:p>
    <w:p w14:paraId="30207964" w14:textId="77777777" w:rsidR="0054157F" w:rsidRPr="0054157F" w:rsidRDefault="0054157F" w:rsidP="0054157F">
      <w:pPr>
        <w:pStyle w:val="a8"/>
        <w:tabs>
          <w:tab w:val="left" w:pos="426"/>
        </w:tabs>
        <w:spacing w:after="0" w:line="240" w:lineRule="auto"/>
        <w:ind w:left="426"/>
        <w:jc w:val="both"/>
        <w:rPr>
          <w:rFonts w:ascii="Times New Roman" w:eastAsia="Times New Roman" w:hAnsi="Times New Roman" w:cs="Times New Roman"/>
          <w:sz w:val="28"/>
          <w:szCs w:val="28"/>
        </w:rPr>
      </w:pPr>
    </w:p>
    <w:p w14:paraId="1E8433F8" w14:textId="57C15D2D" w:rsidR="00861C18" w:rsidRPr="0054157F" w:rsidRDefault="00C36838" w:rsidP="0054157F">
      <w:pPr>
        <w:pStyle w:val="a8"/>
        <w:numPr>
          <w:ilvl w:val="0"/>
          <w:numId w:val="2"/>
        </w:numPr>
        <w:tabs>
          <w:tab w:val="left" w:pos="426"/>
        </w:tabs>
        <w:spacing w:after="0" w:line="240" w:lineRule="auto"/>
        <w:ind w:left="426"/>
        <w:jc w:val="both"/>
        <w:rPr>
          <w:rFonts w:ascii="Times New Roman" w:eastAsia="Times New Roman" w:hAnsi="Times New Roman" w:cs="Times New Roman"/>
          <w:sz w:val="28"/>
          <w:szCs w:val="28"/>
        </w:rPr>
      </w:pPr>
      <w:r w:rsidRPr="0054157F">
        <w:rPr>
          <w:rFonts w:ascii="Times New Roman" w:eastAsia="Times New Roman" w:hAnsi="Times New Roman" w:cs="Times New Roman"/>
          <w:sz w:val="28"/>
          <w:szCs w:val="28"/>
        </w:rPr>
        <w:t>The developed model for calculating the probability of cardiovascular events, considering glycemic variability control using 1,5-AG, HOMA-IR index, glucagon-like peptide-1 (GLP-1), will enhance therapeutic interventions and prevent the development of cardiovascular events in patients with carbohydrate metabolism disorders.</w:t>
      </w:r>
    </w:p>
    <w:p w14:paraId="5CEC9395" w14:textId="77777777" w:rsidR="00182072" w:rsidRPr="0054157F" w:rsidRDefault="00861C18" w:rsidP="00861C18">
      <w:pPr>
        <w:tabs>
          <w:tab w:val="left" w:pos="284"/>
        </w:tabs>
        <w:spacing w:after="0" w:line="240" w:lineRule="auto"/>
        <w:jc w:val="both"/>
        <w:rPr>
          <w:rFonts w:ascii="Times New Roman" w:eastAsia="Times New Roman" w:hAnsi="Times New Roman" w:cs="Times New Roman"/>
          <w:b/>
          <w:sz w:val="28"/>
          <w:szCs w:val="28"/>
        </w:rPr>
      </w:pPr>
      <w:r w:rsidRPr="0054157F">
        <w:rPr>
          <w:rFonts w:ascii="Times New Roman" w:eastAsia="Times New Roman" w:hAnsi="Times New Roman" w:cs="Times New Roman"/>
          <w:b/>
          <w:sz w:val="28"/>
          <w:szCs w:val="28"/>
        </w:rPr>
        <w:tab/>
      </w:r>
      <w:r w:rsidRPr="0054157F">
        <w:rPr>
          <w:rFonts w:ascii="Times New Roman" w:eastAsia="Times New Roman" w:hAnsi="Times New Roman" w:cs="Times New Roman"/>
          <w:b/>
          <w:sz w:val="28"/>
          <w:szCs w:val="28"/>
        </w:rPr>
        <w:tab/>
      </w:r>
    </w:p>
    <w:p w14:paraId="6753413F" w14:textId="77777777" w:rsidR="009E514D" w:rsidRPr="00522A0D" w:rsidRDefault="00182072" w:rsidP="009E514D">
      <w:pPr>
        <w:tabs>
          <w:tab w:val="left" w:pos="284"/>
        </w:tabs>
        <w:spacing w:after="0" w:line="240" w:lineRule="auto"/>
        <w:jc w:val="both"/>
        <w:rPr>
          <w:rFonts w:ascii="Times New Roman" w:eastAsia="Times New Roman" w:hAnsi="Times New Roman" w:cs="Times New Roman"/>
          <w:sz w:val="28"/>
          <w:szCs w:val="28"/>
        </w:rPr>
      </w:pPr>
      <w:r w:rsidRPr="0054157F">
        <w:rPr>
          <w:rFonts w:ascii="Times New Roman" w:eastAsia="Times New Roman" w:hAnsi="Times New Roman" w:cs="Times New Roman"/>
          <w:b/>
          <w:sz w:val="28"/>
          <w:szCs w:val="28"/>
        </w:rPr>
        <w:tab/>
      </w:r>
      <w:r w:rsidRPr="0054157F">
        <w:rPr>
          <w:rFonts w:ascii="Times New Roman" w:eastAsia="Times New Roman" w:hAnsi="Times New Roman" w:cs="Times New Roman"/>
          <w:b/>
          <w:sz w:val="28"/>
          <w:szCs w:val="28"/>
        </w:rPr>
        <w:tab/>
      </w:r>
      <w:r w:rsidR="009A3A0E" w:rsidRPr="00522A0D">
        <w:rPr>
          <w:rFonts w:ascii="Times New Roman" w:eastAsia="Times New Roman" w:hAnsi="Times New Roman" w:cs="Times New Roman"/>
          <w:b/>
          <w:sz w:val="28"/>
          <w:szCs w:val="28"/>
        </w:rPr>
        <w:t>Implementation into practice</w:t>
      </w:r>
      <w:r w:rsidR="00861C18" w:rsidRPr="00522A0D">
        <w:rPr>
          <w:rFonts w:ascii="Times New Roman" w:eastAsia="Times New Roman" w:hAnsi="Times New Roman" w:cs="Times New Roman"/>
          <w:sz w:val="28"/>
          <w:szCs w:val="28"/>
        </w:rPr>
        <w:cr/>
      </w:r>
      <w:r w:rsidR="009E514D" w:rsidRPr="00522A0D">
        <w:rPr>
          <w:rFonts w:ascii="Times New Roman" w:eastAsia="Times New Roman" w:hAnsi="Times New Roman" w:cs="Times New Roman"/>
          <w:sz w:val="28"/>
          <w:szCs w:val="28"/>
        </w:rPr>
        <w:t>The data obtained from conducted clinical studies have been implemented and applied in the work of the prevention departments of three outpatient clinics in Karaganda: JYSAN MED LLP, Hippocrates, and the city emergency medical service center of Karaganda.</w:t>
      </w:r>
    </w:p>
    <w:p w14:paraId="7FFB0CF6" w14:textId="77777777" w:rsidR="009E514D" w:rsidRPr="00522A0D" w:rsidRDefault="009E514D" w:rsidP="009E514D">
      <w:pPr>
        <w:tabs>
          <w:tab w:val="left" w:pos="284"/>
        </w:tabs>
        <w:spacing w:after="0" w:line="240" w:lineRule="auto"/>
        <w:jc w:val="both"/>
        <w:rPr>
          <w:rFonts w:ascii="Times New Roman" w:eastAsia="Times New Roman" w:hAnsi="Times New Roman" w:cs="Times New Roman"/>
          <w:sz w:val="28"/>
          <w:szCs w:val="28"/>
        </w:rPr>
      </w:pPr>
    </w:p>
    <w:p w14:paraId="5D2D3BF7" w14:textId="671148FA" w:rsidR="009E514D" w:rsidRPr="00522A0D" w:rsidRDefault="009E514D" w:rsidP="009E514D">
      <w:pPr>
        <w:tabs>
          <w:tab w:val="left" w:pos="284"/>
        </w:tabs>
        <w:spacing w:after="0" w:line="240" w:lineRule="auto"/>
        <w:jc w:val="both"/>
        <w:rPr>
          <w:rFonts w:ascii="Times New Roman" w:eastAsia="Times New Roman" w:hAnsi="Times New Roman" w:cs="Times New Roman"/>
          <w:b/>
          <w:bCs/>
          <w:sz w:val="28"/>
          <w:szCs w:val="28"/>
        </w:rPr>
      </w:pPr>
      <w:r w:rsidRPr="00522A0D">
        <w:rPr>
          <w:rFonts w:ascii="Times New Roman" w:eastAsia="Times New Roman" w:hAnsi="Times New Roman" w:cs="Times New Roman"/>
          <w:b/>
          <w:bCs/>
          <w:sz w:val="28"/>
          <w:szCs w:val="28"/>
        </w:rPr>
        <w:tab/>
      </w:r>
      <w:r w:rsidRPr="00522A0D">
        <w:rPr>
          <w:rFonts w:ascii="Times New Roman" w:eastAsia="Times New Roman" w:hAnsi="Times New Roman" w:cs="Times New Roman"/>
          <w:b/>
          <w:bCs/>
          <w:sz w:val="28"/>
          <w:szCs w:val="28"/>
        </w:rPr>
        <w:tab/>
        <w:t>Author's Personal Contribution</w:t>
      </w:r>
    </w:p>
    <w:p w14:paraId="2B6263A6" w14:textId="77777777" w:rsidR="009E514D" w:rsidRPr="00522A0D" w:rsidRDefault="009E514D" w:rsidP="009E514D">
      <w:pPr>
        <w:tabs>
          <w:tab w:val="left" w:pos="284"/>
        </w:tabs>
        <w:spacing w:after="0" w:line="240" w:lineRule="auto"/>
        <w:jc w:val="both"/>
        <w:rPr>
          <w:rFonts w:ascii="Times New Roman" w:eastAsia="Times New Roman" w:hAnsi="Times New Roman" w:cs="Times New Roman"/>
          <w:sz w:val="28"/>
          <w:szCs w:val="28"/>
        </w:rPr>
      </w:pPr>
    </w:p>
    <w:p w14:paraId="0DED2C85" w14:textId="7895A6E0" w:rsidR="00BA2F63" w:rsidRPr="00522A0D" w:rsidRDefault="009E514D" w:rsidP="009E514D">
      <w:pPr>
        <w:tabs>
          <w:tab w:val="left" w:pos="284"/>
        </w:tabs>
        <w:spacing w:after="0" w:line="240" w:lineRule="auto"/>
        <w:jc w:val="both"/>
        <w:rPr>
          <w:rFonts w:ascii="Times New Roman" w:hAnsi="Times New Roman" w:cs="Times New Roman"/>
          <w:sz w:val="28"/>
          <w:szCs w:val="28"/>
        </w:rPr>
      </w:pPr>
      <w:r w:rsidRPr="00522A0D">
        <w:rPr>
          <w:rFonts w:ascii="Times New Roman" w:eastAsia="Times New Roman" w:hAnsi="Times New Roman" w:cs="Times New Roman"/>
          <w:sz w:val="28"/>
          <w:szCs w:val="28"/>
        </w:rPr>
        <w:t>The dissertation candidate conducted the selection and clinical examination of patients, determined glucose and glycated hemoglobin levels using portable devices, and collected and transported biological material to the laboratory. The doctoral candidate analyzed the concentration of 1,5-anhydro-D-sorbitol (1,5-AG) using HPLC under the guidance of a research fellow from the Institute of Life Sciences at the Medical University of Karaganda Marchenko A.B. The candidate formed and populated the database of the study subjects, performed statistical data processing, and analyzed and interpreted the obtained results.</w:t>
      </w:r>
    </w:p>
    <w:p w14:paraId="5E22F93E" w14:textId="77777777" w:rsidR="009E514D" w:rsidRPr="00522A0D" w:rsidRDefault="009E514D" w:rsidP="00DF067A">
      <w:pPr>
        <w:spacing w:after="0" w:line="240" w:lineRule="auto"/>
        <w:ind w:firstLine="709"/>
        <w:jc w:val="both"/>
        <w:rPr>
          <w:rFonts w:ascii="Times New Roman" w:eastAsia="Times New Roman" w:hAnsi="Times New Roman" w:cs="Times New Roman"/>
          <w:b/>
          <w:sz w:val="28"/>
          <w:szCs w:val="28"/>
        </w:rPr>
      </w:pPr>
    </w:p>
    <w:p w14:paraId="30E25F67" w14:textId="4390A253" w:rsidR="00DF067A" w:rsidRPr="00522A0D" w:rsidRDefault="00522A0D" w:rsidP="00DF067A">
      <w:pPr>
        <w:spacing w:after="0" w:line="240" w:lineRule="auto"/>
        <w:ind w:firstLine="709"/>
        <w:jc w:val="both"/>
        <w:rPr>
          <w:rFonts w:ascii="Times New Roman" w:eastAsia="Times New Roman" w:hAnsi="Times New Roman" w:cs="Times New Roman"/>
          <w:b/>
          <w:sz w:val="28"/>
          <w:szCs w:val="28"/>
        </w:rPr>
      </w:pPr>
      <w:r w:rsidRPr="00522A0D">
        <w:rPr>
          <w:rFonts w:ascii="Times New Roman" w:eastAsia="Times New Roman" w:hAnsi="Times New Roman" w:cs="Times New Roman"/>
          <w:b/>
          <w:sz w:val="28"/>
          <w:szCs w:val="28"/>
        </w:rPr>
        <w:t>Connection of the dissertation with other research works</w:t>
      </w:r>
    </w:p>
    <w:p w14:paraId="6675B80A" w14:textId="77777777" w:rsidR="00522A0D" w:rsidRPr="00522A0D" w:rsidRDefault="00522A0D" w:rsidP="00DF067A">
      <w:pPr>
        <w:spacing w:after="0" w:line="240" w:lineRule="auto"/>
        <w:ind w:firstLine="709"/>
        <w:jc w:val="both"/>
        <w:rPr>
          <w:rFonts w:ascii="Times New Roman" w:eastAsia="Times New Roman" w:hAnsi="Times New Roman" w:cs="Times New Roman"/>
          <w:b/>
          <w:sz w:val="28"/>
          <w:szCs w:val="28"/>
        </w:rPr>
      </w:pPr>
    </w:p>
    <w:p w14:paraId="7B01B3C8" w14:textId="410C6C18" w:rsidR="00861C18" w:rsidRPr="00522A0D" w:rsidRDefault="00522A0D" w:rsidP="00861C18">
      <w:pPr>
        <w:tabs>
          <w:tab w:val="left" w:pos="284"/>
        </w:tabs>
        <w:spacing w:line="240" w:lineRule="auto"/>
        <w:ind w:firstLine="720"/>
        <w:contextualSpacing/>
        <w:jc w:val="both"/>
        <w:rPr>
          <w:rFonts w:ascii="Times New Roman" w:eastAsia="Times New Roman" w:hAnsi="Times New Roman" w:cs="Times New Roman"/>
          <w:sz w:val="28"/>
          <w:szCs w:val="28"/>
        </w:rPr>
      </w:pPr>
      <w:r w:rsidRPr="00522A0D">
        <w:rPr>
          <w:rFonts w:ascii="Times New Roman" w:eastAsia="Times New Roman" w:hAnsi="Times New Roman" w:cs="Times New Roman"/>
          <w:sz w:val="28"/>
          <w:szCs w:val="28"/>
        </w:rPr>
        <w:t xml:space="preserve">The dissertation was conducted under the auspices of the Department of Internal Medicine, Institute of Life Sciences, at the National Medical University of </w:t>
      </w:r>
      <w:r w:rsidRPr="00522A0D">
        <w:rPr>
          <w:rFonts w:ascii="Times New Roman" w:eastAsia="Times New Roman" w:hAnsi="Times New Roman" w:cs="Times New Roman"/>
          <w:sz w:val="28"/>
          <w:szCs w:val="28"/>
        </w:rPr>
        <w:lastRenderedPageBreak/>
        <w:t>Karaganda within the framework of the scientific and technical program O.0769 "Development of Scientific Foundations for Creating a Preventive Environment for Public Health Preservation" of the Ministry of Healthcare of the Republic of Kazakhstan (program-targeted financing) implemented in 2017–2019 (Registration number: 0117RK00018).</w:t>
      </w:r>
    </w:p>
    <w:p w14:paraId="6BE6032F" w14:textId="77777777" w:rsidR="00522A0D" w:rsidRPr="00522A0D" w:rsidRDefault="00522A0D" w:rsidP="00861C18">
      <w:pPr>
        <w:tabs>
          <w:tab w:val="left" w:pos="284"/>
        </w:tabs>
        <w:spacing w:line="240" w:lineRule="auto"/>
        <w:ind w:firstLine="720"/>
        <w:contextualSpacing/>
        <w:jc w:val="both"/>
        <w:rPr>
          <w:rFonts w:ascii="Times New Roman" w:eastAsia="Times New Roman" w:hAnsi="Times New Roman" w:cs="Times New Roman"/>
          <w:b/>
          <w:sz w:val="28"/>
          <w:szCs w:val="28"/>
        </w:rPr>
      </w:pPr>
    </w:p>
    <w:p w14:paraId="40CC2D22" w14:textId="77777777" w:rsidR="00522A0D" w:rsidRPr="00522A0D" w:rsidRDefault="00522A0D" w:rsidP="00861C18">
      <w:pPr>
        <w:tabs>
          <w:tab w:val="left" w:pos="284"/>
        </w:tabs>
        <w:spacing w:after="0" w:line="240" w:lineRule="auto"/>
        <w:ind w:firstLine="720"/>
        <w:contextualSpacing/>
        <w:jc w:val="both"/>
        <w:rPr>
          <w:rFonts w:ascii="Times New Roman" w:eastAsia="Times New Roman" w:hAnsi="Times New Roman" w:cs="Times New Roman"/>
          <w:b/>
          <w:sz w:val="28"/>
          <w:szCs w:val="28"/>
        </w:rPr>
      </w:pPr>
      <w:bookmarkStart w:id="0" w:name="_Hlk147425919"/>
      <w:r w:rsidRPr="00522A0D">
        <w:rPr>
          <w:rFonts w:ascii="Times New Roman" w:eastAsia="Times New Roman" w:hAnsi="Times New Roman" w:cs="Times New Roman"/>
          <w:b/>
          <w:sz w:val="28"/>
          <w:szCs w:val="28"/>
        </w:rPr>
        <w:t>Approbation of results</w:t>
      </w:r>
    </w:p>
    <w:p w14:paraId="4907FFC0" w14:textId="77777777" w:rsidR="00522A0D" w:rsidRDefault="00522A0D" w:rsidP="00861C18">
      <w:pPr>
        <w:tabs>
          <w:tab w:val="left" w:pos="284"/>
        </w:tabs>
        <w:spacing w:after="0" w:line="240" w:lineRule="auto"/>
        <w:ind w:firstLine="720"/>
        <w:contextualSpacing/>
        <w:jc w:val="both"/>
        <w:rPr>
          <w:rFonts w:ascii="Times New Roman" w:eastAsia="Times New Roman" w:hAnsi="Times New Roman" w:cs="Times New Roman"/>
          <w:b/>
          <w:sz w:val="28"/>
          <w:szCs w:val="28"/>
        </w:rPr>
      </w:pPr>
    </w:p>
    <w:p w14:paraId="06655EF9" w14:textId="5D0C4018" w:rsidR="00861C18" w:rsidRPr="00522A0D" w:rsidRDefault="00522A0D" w:rsidP="00861C18">
      <w:pPr>
        <w:tabs>
          <w:tab w:val="left" w:pos="284"/>
        </w:tabs>
        <w:spacing w:after="0" w:line="240" w:lineRule="auto"/>
        <w:ind w:firstLine="720"/>
        <w:contextualSpacing/>
        <w:jc w:val="both"/>
        <w:rPr>
          <w:rFonts w:ascii="Times New Roman" w:eastAsia="Times New Roman" w:hAnsi="Times New Roman" w:cs="Times New Roman"/>
          <w:sz w:val="28"/>
          <w:szCs w:val="28"/>
        </w:rPr>
      </w:pPr>
      <w:r w:rsidRPr="00522A0D">
        <w:rPr>
          <w:rFonts w:ascii="Times New Roman" w:eastAsia="Times New Roman" w:hAnsi="Times New Roman" w:cs="Times New Roman"/>
          <w:sz w:val="28"/>
          <w:szCs w:val="28"/>
        </w:rPr>
        <w:t>The main provisions and results of the research were presented at the International Conference "Advanced Technology and Treatment of Diabetes" (2018, Austria, Vienna); the International Scientific and Practical Conference "International Scientific Conference - 2019. Health. Science. Technology" (2019, Karaganda); the International Congress "World Congress Insulin Resistance Diabetes &amp; Cardiovascular Disease" (2020, Los Angeles, California, USA); and at an extended meeting of the Department of Internal Medicine at the National Medical University of Karaganda.</w:t>
      </w:r>
    </w:p>
    <w:bookmarkEnd w:id="0"/>
    <w:p w14:paraId="1D9D987D" w14:textId="79F92C54" w:rsidR="003A6F72" w:rsidRPr="00522A0D" w:rsidRDefault="003A6F72" w:rsidP="00861C18">
      <w:pPr>
        <w:tabs>
          <w:tab w:val="left" w:pos="284"/>
        </w:tabs>
        <w:spacing w:line="240" w:lineRule="auto"/>
        <w:contextualSpacing/>
        <w:jc w:val="both"/>
        <w:rPr>
          <w:rFonts w:ascii="Times New Roman" w:eastAsia="Times New Roman" w:hAnsi="Times New Roman" w:cs="Times New Roman"/>
          <w:b/>
          <w:sz w:val="28"/>
          <w:szCs w:val="28"/>
        </w:rPr>
      </w:pPr>
    </w:p>
    <w:p w14:paraId="794B43CE" w14:textId="77777777" w:rsidR="00522A0D" w:rsidRPr="00522A0D" w:rsidRDefault="00522A0D" w:rsidP="00E63B33">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522A0D">
        <w:rPr>
          <w:rFonts w:ascii="Times New Roman" w:eastAsia="Times New Roman" w:hAnsi="Times New Roman" w:cs="Times New Roman"/>
          <w:b/>
          <w:sz w:val="28"/>
          <w:szCs w:val="28"/>
        </w:rPr>
        <w:t>Publications on the topic of the dissertation work</w:t>
      </w:r>
    </w:p>
    <w:p w14:paraId="284D82BF" w14:textId="77777777" w:rsidR="00522A0D" w:rsidRPr="00522A0D" w:rsidRDefault="00522A0D" w:rsidP="00861C18">
      <w:pPr>
        <w:tabs>
          <w:tab w:val="left" w:pos="284"/>
        </w:tabs>
        <w:spacing w:after="0" w:line="240" w:lineRule="auto"/>
        <w:ind w:firstLine="720"/>
        <w:contextualSpacing/>
        <w:jc w:val="both"/>
        <w:rPr>
          <w:rFonts w:ascii="Times New Roman" w:eastAsia="Times New Roman" w:hAnsi="Times New Roman" w:cs="Times New Roman"/>
          <w:sz w:val="28"/>
          <w:szCs w:val="28"/>
        </w:rPr>
      </w:pPr>
      <w:r w:rsidRPr="00522A0D">
        <w:rPr>
          <w:rFonts w:ascii="Times New Roman" w:eastAsia="Times New Roman" w:hAnsi="Times New Roman" w:cs="Times New Roman"/>
          <w:sz w:val="28"/>
          <w:szCs w:val="28"/>
        </w:rPr>
        <w:t>n the topic of the dissertation, 10 printed works have been published: among them, 2 articles in international scientific publications indexed in the Scopus database (journal "Open Access Macedonian Journal of Medical Sciences"); 3 articles in scientific publications published in journals recommended by the Committee for Control of Social and Natural Risks (journal "Astana medical journal" and "Journal of Clinical Medicine of Kazakhstan"); 4 abstracts in the proceedings of international conferences, and 1 abstract in the proceedings of a republican conference.</w:t>
      </w:r>
    </w:p>
    <w:p w14:paraId="7C730F6E" w14:textId="77777777" w:rsidR="00522A0D" w:rsidRDefault="00522A0D" w:rsidP="00861C18">
      <w:pPr>
        <w:tabs>
          <w:tab w:val="left" w:pos="284"/>
        </w:tabs>
        <w:spacing w:after="0" w:line="240" w:lineRule="auto"/>
        <w:ind w:firstLine="720"/>
        <w:contextualSpacing/>
        <w:jc w:val="both"/>
        <w:rPr>
          <w:rFonts w:ascii="Times New Roman" w:eastAsia="Times New Roman" w:hAnsi="Times New Roman" w:cs="Times New Roman"/>
          <w:sz w:val="28"/>
          <w:szCs w:val="28"/>
        </w:rPr>
      </w:pPr>
    </w:p>
    <w:p w14:paraId="7DA6FE10" w14:textId="77777777" w:rsidR="00BF0ECF" w:rsidRPr="00BF0ECF" w:rsidRDefault="00BF0ECF" w:rsidP="005A68C5">
      <w:pPr>
        <w:tabs>
          <w:tab w:val="left" w:pos="284"/>
        </w:tabs>
        <w:spacing w:after="0" w:line="240" w:lineRule="auto"/>
        <w:ind w:firstLine="851"/>
        <w:contextualSpacing/>
        <w:jc w:val="both"/>
        <w:rPr>
          <w:rFonts w:ascii="Times New Roman" w:eastAsia="Times New Roman" w:hAnsi="Times New Roman" w:cs="Times New Roman"/>
          <w:b/>
          <w:sz w:val="28"/>
          <w:szCs w:val="28"/>
        </w:rPr>
      </w:pPr>
      <w:r w:rsidRPr="00BF0ECF">
        <w:rPr>
          <w:rFonts w:ascii="Times New Roman" w:eastAsia="Times New Roman" w:hAnsi="Times New Roman" w:cs="Times New Roman"/>
          <w:b/>
          <w:sz w:val="28"/>
          <w:szCs w:val="28"/>
        </w:rPr>
        <w:t>Scope and structure of the dissertation</w:t>
      </w:r>
    </w:p>
    <w:p w14:paraId="0E366712" w14:textId="72E32655" w:rsidR="00BF0ECF" w:rsidRPr="00C40235" w:rsidRDefault="00C40235" w:rsidP="005A68C5">
      <w:pPr>
        <w:tabs>
          <w:tab w:val="left" w:pos="284"/>
        </w:tabs>
        <w:spacing w:after="0" w:line="240" w:lineRule="auto"/>
        <w:ind w:firstLine="851"/>
        <w:contextualSpacing/>
        <w:jc w:val="both"/>
        <w:rPr>
          <w:rFonts w:ascii="Times New Roman" w:eastAsia="Times New Roman" w:hAnsi="Times New Roman" w:cs="Times New Roman"/>
          <w:sz w:val="28"/>
          <w:szCs w:val="28"/>
        </w:rPr>
      </w:pPr>
      <w:r w:rsidRPr="00C40235">
        <w:rPr>
          <w:rFonts w:ascii="Times New Roman" w:eastAsia="Times New Roman" w:hAnsi="Times New Roman" w:cs="Times New Roman"/>
          <w:sz w:val="28"/>
          <w:szCs w:val="28"/>
        </w:rPr>
        <w:t>The dissertation research is presented in 94 pages and consists of the following sections: introduction, literature review, 5 chapters describing the results of the original research, conclusions, and findings. The bibliography includes 155 literary sources. The dissertation includes 12 figures, 14 tables, and is supplemented with 2 appendices.</w:t>
      </w:r>
    </w:p>
    <w:p w14:paraId="0631FE24" w14:textId="77777777" w:rsidR="00C40235" w:rsidRPr="00C40235" w:rsidRDefault="00C40235" w:rsidP="005A68C5">
      <w:pPr>
        <w:tabs>
          <w:tab w:val="left" w:pos="284"/>
        </w:tabs>
        <w:spacing w:after="0" w:line="240" w:lineRule="auto"/>
        <w:ind w:firstLine="851"/>
        <w:contextualSpacing/>
        <w:jc w:val="both"/>
        <w:rPr>
          <w:rFonts w:ascii="Times New Roman" w:eastAsia="Times New Roman" w:hAnsi="Times New Roman" w:cs="Times New Roman"/>
          <w:sz w:val="28"/>
          <w:szCs w:val="28"/>
        </w:rPr>
      </w:pPr>
    </w:p>
    <w:p w14:paraId="0D566B78" w14:textId="77777777" w:rsidR="00C40235" w:rsidRPr="007E4AAB" w:rsidRDefault="00C40235" w:rsidP="005A68C5">
      <w:pPr>
        <w:tabs>
          <w:tab w:val="left" w:pos="284"/>
        </w:tabs>
        <w:spacing w:after="0" w:line="240" w:lineRule="auto"/>
        <w:ind w:firstLine="851"/>
        <w:contextualSpacing/>
        <w:jc w:val="both"/>
        <w:rPr>
          <w:rFonts w:ascii="Times New Roman" w:eastAsia="Times New Roman" w:hAnsi="Times New Roman" w:cs="Times New Roman"/>
          <w:b/>
          <w:sz w:val="28"/>
          <w:szCs w:val="28"/>
        </w:rPr>
      </w:pPr>
      <w:r w:rsidRPr="007E4AAB">
        <w:rPr>
          <w:rFonts w:ascii="Times New Roman" w:eastAsia="Times New Roman" w:hAnsi="Times New Roman" w:cs="Times New Roman"/>
          <w:b/>
          <w:sz w:val="28"/>
          <w:szCs w:val="28"/>
        </w:rPr>
        <w:t>Materials and research methods</w:t>
      </w:r>
    </w:p>
    <w:p w14:paraId="465004AF" w14:textId="77777777" w:rsidR="00C40235" w:rsidRPr="007E4AAB" w:rsidRDefault="00C40235" w:rsidP="00C40235">
      <w:pPr>
        <w:spacing w:after="0" w:line="240" w:lineRule="auto"/>
        <w:ind w:firstLine="851"/>
        <w:contextualSpacing/>
        <w:rPr>
          <w:rFonts w:ascii="Times New Roman" w:eastAsia="Times New Roman" w:hAnsi="Times New Roman" w:cs="Times New Roman"/>
          <w:sz w:val="28"/>
          <w:szCs w:val="28"/>
        </w:rPr>
      </w:pPr>
    </w:p>
    <w:p w14:paraId="06D098F3" w14:textId="41534D7A" w:rsidR="00C40235" w:rsidRPr="00C40235" w:rsidRDefault="00C40235" w:rsidP="00C40235">
      <w:pPr>
        <w:spacing w:after="0" w:line="240" w:lineRule="auto"/>
        <w:ind w:firstLine="851"/>
        <w:contextualSpacing/>
        <w:jc w:val="both"/>
        <w:rPr>
          <w:rFonts w:ascii="Times New Roman" w:eastAsia="Times New Roman" w:hAnsi="Times New Roman" w:cs="Times New Roman"/>
          <w:sz w:val="28"/>
          <w:szCs w:val="28"/>
        </w:rPr>
      </w:pPr>
      <w:r w:rsidRPr="00C40235">
        <w:rPr>
          <w:rFonts w:ascii="Times New Roman" w:eastAsia="Times New Roman" w:hAnsi="Times New Roman" w:cs="Times New Roman"/>
          <w:sz w:val="28"/>
          <w:szCs w:val="28"/>
        </w:rPr>
        <w:t xml:space="preserve">The patient recruitment was conducted from </w:t>
      </w:r>
      <w:r>
        <w:rPr>
          <w:rFonts w:ascii="Times New Roman" w:eastAsia="Times New Roman" w:hAnsi="Times New Roman" w:cs="Times New Roman"/>
          <w:sz w:val="28"/>
          <w:szCs w:val="28"/>
        </w:rPr>
        <w:t>June</w:t>
      </w:r>
      <w:r w:rsidRPr="00C40235">
        <w:rPr>
          <w:rFonts w:ascii="Times New Roman" w:eastAsia="Times New Roman" w:hAnsi="Times New Roman" w:cs="Times New Roman"/>
          <w:sz w:val="28"/>
          <w:szCs w:val="28"/>
        </w:rPr>
        <w:t xml:space="preserve"> to November 2018 at Outpatient Clinic No. 1 in Karaganda. The research protocol was approved by the Bioethics Committee of the National Medical University "Karaganda Medical University" No. 62 dated June 18, 2018. An observational cross-sectional study of a case-control type was carried out. The total number of participants was 301 individuals.</w:t>
      </w:r>
    </w:p>
    <w:p w14:paraId="294EF58D" w14:textId="131297C1" w:rsidR="00BA2F63" w:rsidRPr="00C40235" w:rsidRDefault="00C40235" w:rsidP="00C40235">
      <w:pPr>
        <w:spacing w:after="0" w:line="240" w:lineRule="auto"/>
        <w:ind w:firstLine="851"/>
        <w:contextualSpacing/>
        <w:jc w:val="both"/>
        <w:rPr>
          <w:rFonts w:ascii="Times New Roman" w:eastAsia="Times New Roman" w:hAnsi="Times New Roman" w:cs="Times New Roman"/>
          <w:b/>
          <w:bCs/>
          <w:sz w:val="28"/>
          <w:szCs w:val="28"/>
          <w:lang w:val="kk-KZ"/>
        </w:rPr>
      </w:pPr>
      <w:r w:rsidRPr="00C40235">
        <w:rPr>
          <w:rFonts w:ascii="Times New Roman" w:eastAsia="Times New Roman" w:hAnsi="Times New Roman" w:cs="Times New Roman"/>
          <w:sz w:val="28"/>
          <w:szCs w:val="28"/>
        </w:rPr>
        <w:t xml:space="preserve">All participants were categorized into four groups for subsequent pairwise comparisons, as there were different working hypotheses for patients with diabetes and prediabetes. Patients in the first group (type 2 diabetes and cardiovascular </w:t>
      </w:r>
      <w:r w:rsidRPr="00C40235">
        <w:rPr>
          <w:rFonts w:ascii="Times New Roman" w:eastAsia="Times New Roman" w:hAnsi="Times New Roman" w:cs="Times New Roman"/>
          <w:sz w:val="28"/>
          <w:szCs w:val="28"/>
        </w:rPr>
        <w:lastRenderedPageBreak/>
        <w:t xml:space="preserve">events) were compared with patients in the second group (type 2 diabetes without cardiovascular events). Patients in the third group (prediabetes </w:t>
      </w:r>
      <w:r w:rsidR="001C11C8">
        <w:rPr>
          <w:rFonts w:ascii="Times New Roman" w:eastAsia="Times New Roman" w:hAnsi="Times New Roman" w:cs="Times New Roman"/>
          <w:sz w:val="28"/>
          <w:szCs w:val="28"/>
        </w:rPr>
        <w:t>with</w:t>
      </w:r>
      <w:r w:rsidRPr="00C40235">
        <w:rPr>
          <w:rFonts w:ascii="Times New Roman" w:eastAsia="Times New Roman" w:hAnsi="Times New Roman" w:cs="Times New Roman"/>
          <w:sz w:val="28"/>
          <w:szCs w:val="28"/>
        </w:rPr>
        <w:t xml:space="preserve"> cardiovascular events) were compared with patients in the fourth group (prediabetes without cardiovascular events).</w:t>
      </w:r>
    </w:p>
    <w:p w14:paraId="1F9248AB"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2A028725"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392168BE"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35FB1D81"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257EAEBB"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4E5E5467"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7D6A041D"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3BAECC4E"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34A17A87"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2959C2CE" w14:textId="77777777" w:rsid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03FC40D8" w14:textId="385ED68D" w:rsidR="00BA2F63"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Study design</w:t>
      </w:r>
    </w:p>
    <w:p w14:paraId="6D997038" w14:textId="77777777" w:rsidR="00D6483D" w:rsidRPr="00D6483D" w:rsidRDefault="00D6483D" w:rsidP="00BA2F63">
      <w:pPr>
        <w:spacing w:after="0" w:line="240" w:lineRule="auto"/>
        <w:ind w:firstLine="851"/>
        <w:contextualSpacing/>
        <w:jc w:val="center"/>
        <w:rPr>
          <w:rFonts w:ascii="Times New Roman" w:eastAsia="Times New Roman" w:hAnsi="Times New Roman" w:cs="Times New Roman"/>
          <w:b/>
          <w:bCs/>
          <w:sz w:val="28"/>
          <w:szCs w:val="28"/>
        </w:rPr>
      </w:pPr>
    </w:p>
    <w:p w14:paraId="425D41F5" w14:textId="07E46B94" w:rsidR="00EF44DF" w:rsidRPr="00785327"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r w:rsidRPr="00785327">
        <w:rPr>
          <w:rFonts w:ascii="Times New Roman" w:eastAsia="Times New Roman" w:hAnsi="Times New Roman" w:cs="Times New Roman"/>
          <w:noProof/>
          <w:sz w:val="28"/>
          <w:szCs w:val="28"/>
          <w:lang w:val="ru-RU"/>
        </w:rPr>
        <w:drawing>
          <wp:inline distT="0" distB="0" distL="0" distR="0" wp14:anchorId="62DA5232" wp14:editId="5C5B73B1">
            <wp:extent cx="3533775" cy="3409950"/>
            <wp:effectExtent l="0" t="38100" r="9525" b="38100"/>
            <wp:docPr id="12" name="Схема 12">
              <a:extLst xmlns:a="http://schemas.openxmlformats.org/drawingml/2006/main">
                <a:ext uri="{FF2B5EF4-FFF2-40B4-BE49-F238E27FC236}">
                  <a16:creationId xmlns:a16="http://schemas.microsoft.com/office/drawing/2014/main" id="{16E74932-2921-6BDF-0673-674B73C2467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EB81F4F" w14:textId="46A169DD" w:rsidR="00EF44DF" w:rsidRPr="00785327"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r w:rsidRPr="00785327">
        <w:rPr>
          <w:rFonts w:ascii="Times New Roman" w:eastAsia="Times New Roman" w:hAnsi="Times New Roman" w:cs="Times New Roman"/>
          <w:noProof/>
          <w:sz w:val="28"/>
          <w:szCs w:val="28"/>
          <w:lang w:val="ru-RU"/>
        </w:rPr>
        <mc:AlternateContent>
          <mc:Choice Requires="wps">
            <w:drawing>
              <wp:anchor distT="0" distB="0" distL="114300" distR="114300" simplePos="0" relativeHeight="251664384" behindDoc="0" locked="0" layoutInCell="1" allowOverlap="1" wp14:anchorId="7596F6EE" wp14:editId="609DF018">
                <wp:simplePos x="0" y="0"/>
                <wp:positionH relativeFrom="column">
                  <wp:posOffset>558166</wp:posOffset>
                </wp:positionH>
                <wp:positionV relativeFrom="paragraph">
                  <wp:posOffset>22860</wp:posOffset>
                </wp:positionV>
                <wp:extent cx="5124450" cy="954107"/>
                <wp:effectExtent l="0" t="0" r="19050" b="25400"/>
                <wp:wrapNone/>
                <wp:docPr id="13" name="TextBox 1"/>
                <wp:cNvGraphicFramePr/>
                <a:graphic xmlns:a="http://schemas.openxmlformats.org/drawingml/2006/main">
                  <a:graphicData uri="http://schemas.microsoft.com/office/word/2010/wordprocessingShape">
                    <wps:wsp>
                      <wps:cNvSpPr txBox="1"/>
                      <wps:spPr>
                        <a:xfrm>
                          <a:off x="0" y="0"/>
                          <a:ext cx="5124450" cy="954107"/>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3574A0A" w14:textId="77777777" w:rsidR="00F62C5A" w:rsidRPr="005017A0" w:rsidRDefault="00F62C5A" w:rsidP="00F62C5A">
                            <w:pPr>
                              <w:kinsoku w:val="0"/>
                              <w:overflowPunct w:val="0"/>
                              <w:spacing w:line="240" w:lineRule="auto"/>
                              <w:contextualSpacing/>
                              <w:jc w:val="both"/>
                              <w:textAlignment w:val="baseline"/>
                              <w:rPr>
                                <w:rFonts w:ascii="Times New Roman" w:eastAsia="Times New Roman" w:hAnsi="Times New Roman" w:cs="Times New Roman"/>
                                <w:b/>
                                <w:bCs/>
                                <w:color w:val="000000" w:themeColor="dark1"/>
                                <w:kern w:val="24"/>
                                <w:sz w:val="28"/>
                                <w:szCs w:val="28"/>
                              </w:rPr>
                            </w:pPr>
                            <w:r w:rsidRPr="005017A0">
                              <w:rPr>
                                <w:rFonts w:ascii="Times New Roman" w:eastAsia="Times New Roman" w:hAnsi="Times New Roman" w:cs="Times New Roman"/>
                                <w:b/>
                                <w:bCs/>
                                <w:color w:val="000000" w:themeColor="dark1"/>
                                <w:kern w:val="24"/>
                                <w:sz w:val="28"/>
                                <w:szCs w:val="28"/>
                              </w:rPr>
                              <w:t>Research Methods:</w:t>
                            </w:r>
                          </w:p>
                          <w:p w14:paraId="3809BEE1" w14:textId="77777777" w:rsidR="00F62C5A" w:rsidRPr="005017A0" w:rsidRDefault="00F62C5A" w:rsidP="00F62C5A">
                            <w:pPr>
                              <w:kinsoku w:val="0"/>
                              <w:overflowPunct w:val="0"/>
                              <w:spacing w:line="240" w:lineRule="auto"/>
                              <w:contextualSpacing/>
                              <w:jc w:val="both"/>
                              <w:textAlignment w:val="baseline"/>
                              <w:rPr>
                                <w:rFonts w:ascii="Times New Roman" w:eastAsia="Times New Roman" w:hAnsi="Times New Roman" w:cs="Times New Roman"/>
                                <w:color w:val="000000" w:themeColor="dark1"/>
                                <w:kern w:val="24"/>
                                <w:sz w:val="28"/>
                                <w:szCs w:val="28"/>
                              </w:rPr>
                            </w:pPr>
                            <w:r w:rsidRPr="005017A0">
                              <w:rPr>
                                <w:rFonts w:ascii="Times New Roman" w:eastAsia="Times New Roman" w:hAnsi="Times New Roman" w:cs="Times New Roman"/>
                                <w:color w:val="000000" w:themeColor="dark1"/>
                                <w:kern w:val="24"/>
                                <w:sz w:val="28"/>
                                <w:szCs w:val="28"/>
                              </w:rPr>
                              <w:t>Questionnaire</w:t>
                            </w:r>
                          </w:p>
                          <w:p w14:paraId="3B20D873" w14:textId="68EC92B4" w:rsidR="00EF44DF" w:rsidRPr="005017A0" w:rsidRDefault="00F62C5A" w:rsidP="00F62C5A">
                            <w:pPr>
                              <w:kinsoku w:val="0"/>
                              <w:overflowPunct w:val="0"/>
                              <w:spacing w:line="240" w:lineRule="auto"/>
                              <w:contextualSpacing/>
                              <w:jc w:val="both"/>
                              <w:textAlignment w:val="baseline"/>
                              <w:rPr>
                                <w:rFonts w:ascii="Times New Roman" w:eastAsia="Times New Roman" w:hAnsi="Times New Roman" w:cs="Times New Roman"/>
                                <w:color w:val="000000" w:themeColor="dark1"/>
                                <w:kern w:val="24"/>
                                <w:sz w:val="28"/>
                                <w:szCs w:val="28"/>
                              </w:rPr>
                            </w:pPr>
                            <w:r w:rsidRPr="005017A0">
                              <w:rPr>
                                <w:rFonts w:ascii="Times New Roman" w:eastAsia="Times New Roman" w:hAnsi="Times New Roman" w:cs="Times New Roman"/>
                                <w:color w:val="000000" w:themeColor="dark1"/>
                                <w:kern w:val="24"/>
                                <w:sz w:val="28"/>
                                <w:szCs w:val="28"/>
                              </w:rPr>
                              <w:t>Clinical examination, blood sampling with subsequent determination of glycemic regulation biomarkers</w:t>
                            </w:r>
                          </w:p>
                        </w:txbxContent>
                      </wps:txbx>
                      <wps:bodyPr wrap="square" rtlCol="0">
                        <a:spAutoFit/>
                      </wps:bodyPr>
                    </wps:wsp>
                  </a:graphicData>
                </a:graphic>
                <wp14:sizeRelH relativeFrom="margin">
                  <wp14:pctWidth>0</wp14:pctWidth>
                </wp14:sizeRelH>
              </wp:anchor>
            </w:drawing>
          </mc:Choice>
          <mc:Fallback>
            <w:pict>
              <v:shapetype w14:anchorId="7596F6EE" id="_x0000_t202" coordsize="21600,21600" o:spt="202" path="m,l,21600r21600,l21600,xe">
                <v:stroke joinstyle="miter"/>
                <v:path gradientshapeok="t" o:connecttype="rect"/>
              </v:shapetype>
              <v:shape id="TextBox 1" o:spid="_x0000_s1026" type="#_x0000_t202" style="position:absolute;left:0;text-align:left;margin-left:43.95pt;margin-top:1.8pt;width:403.5pt;height:75.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" fillcolor="#c3c3c3 [2166]" strokecolor="#a5a5a5 [3206]" strokeweight=".5pt">
                <v:fill color2="#b6b6b6 [2614]" rotate="t" colors="0 #d2d2d2;.5 #c8c8c8;1 silver" focus="100%" type="gradient">
                  <o:fill v:ext="view" type="gradientUnscaled"/>
                </v:fill>
                <v:textbox style="mso-fit-shape-to-text:t">
                  <w:txbxContent>
                    <w:p w14:paraId="63574A0A" w14:textId="77777777" w:rsidR="00F62C5A" w:rsidRPr="005017A0" w:rsidRDefault="00F62C5A" w:rsidP="00F62C5A">
                      <w:pPr>
                        <w:kinsoku w:val="0"/>
                        <w:overflowPunct w:val="0"/>
                        <w:spacing w:line="240" w:lineRule="auto"/>
                        <w:contextualSpacing/>
                        <w:jc w:val="both"/>
                        <w:textAlignment w:val="baseline"/>
                        <w:rPr>
                          <w:rFonts w:ascii="Times New Roman" w:eastAsia="Times New Roman" w:hAnsi="Times New Roman" w:cs="Times New Roman"/>
                          <w:b/>
                          <w:bCs/>
                          <w:color w:val="000000" w:themeColor="dark1"/>
                          <w:kern w:val="24"/>
                          <w:sz w:val="28"/>
                          <w:szCs w:val="28"/>
                        </w:rPr>
                      </w:pPr>
                      <w:r w:rsidRPr="005017A0">
                        <w:rPr>
                          <w:rFonts w:ascii="Times New Roman" w:eastAsia="Times New Roman" w:hAnsi="Times New Roman" w:cs="Times New Roman"/>
                          <w:b/>
                          <w:bCs/>
                          <w:color w:val="000000" w:themeColor="dark1"/>
                          <w:kern w:val="24"/>
                          <w:sz w:val="28"/>
                          <w:szCs w:val="28"/>
                        </w:rPr>
                        <w:t>Research Methods:</w:t>
                      </w:r>
                    </w:p>
                    <w:p w14:paraId="3809BEE1" w14:textId="77777777" w:rsidR="00F62C5A" w:rsidRPr="005017A0" w:rsidRDefault="00F62C5A" w:rsidP="00F62C5A">
                      <w:pPr>
                        <w:kinsoku w:val="0"/>
                        <w:overflowPunct w:val="0"/>
                        <w:spacing w:line="240" w:lineRule="auto"/>
                        <w:contextualSpacing/>
                        <w:jc w:val="both"/>
                        <w:textAlignment w:val="baseline"/>
                        <w:rPr>
                          <w:rFonts w:ascii="Times New Roman" w:eastAsia="Times New Roman" w:hAnsi="Times New Roman" w:cs="Times New Roman"/>
                          <w:color w:val="000000" w:themeColor="dark1"/>
                          <w:kern w:val="24"/>
                          <w:sz w:val="28"/>
                          <w:szCs w:val="28"/>
                        </w:rPr>
                      </w:pPr>
                      <w:r w:rsidRPr="005017A0">
                        <w:rPr>
                          <w:rFonts w:ascii="Times New Roman" w:eastAsia="Times New Roman" w:hAnsi="Times New Roman" w:cs="Times New Roman"/>
                          <w:color w:val="000000" w:themeColor="dark1"/>
                          <w:kern w:val="24"/>
                          <w:sz w:val="28"/>
                          <w:szCs w:val="28"/>
                        </w:rPr>
                        <w:t>Questionnaire</w:t>
                      </w:r>
                    </w:p>
                    <w:p w14:paraId="3B20D873" w14:textId="68EC92B4" w:rsidR="00EF44DF" w:rsidRPr="005017A0" w:rsidRDefault="00F62C5A" w:rsidP="00F62C5A">
                      <w:pPr>
                        <w:kinsoku w:val="0"/>
                        <w:overflowPunct w:val="0"/>
                        <w:spacing w:line="240" w:lineRule="auto"/>
                        <w:contextualSpacing/>
                        <w:jc w:val="both"/>
                        <w:textAlignment w:val="baseline"/>
                        <w:rPr>
                          <w:rFonts w:ascii="Times New Roman" w:eastAsia="Times New Roman" w:hAnsi="Times New Roman" w:cs="Times New Roman"/>
                          <w:color w:val="000000" w:themeColor="dark1"/>
                          <w:kern w:val="24"/>
                          <w:sz w:val="28"/>
                          <w:szCs w:val="28"/>
                        </w:rPr>
                      </w:pPr>
                      <w:r w:rsidRPr="005017A0">
                        <w:rPr>
                          <w:rFonts w:ascii="Times New Roman" w:eastAsia="Times New Roman" w:hAnsi="Times New Roman" w:cs="Times New Roman"/>
                          <w:color w:val="000000" w:themeColor="dark1"/>
                          <w:kern w:val="24"/>
                          <w:sz w:val="28"/>
                          <w:szCs w:val="28"/>
                        </w:rPr>
                        <w:t>Clinical examination, blood sampling with subsequent determination of glycemic regulation biomarkers</w:t>
                      </w:r>
                    </w:p>
                  </w:txbxContent>
                </v:textbox>
              </v:shape>
            </w:pict>
          </mc:Fallback>
        </mc:AlternateContent>
      </w:r>
    </w:p>
    <w:p w14:paraId="4895E23B" w14:textId="10CF5263" w:rsidR="00EF44DF" w:rsidRPr="00785327"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3914C4AE" w14:textId="3D998C20" w:rsidR="00EF44DF"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56361B08" w14:textId="77777777" w:rsidR="003B0964"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4D7014CF" w14:textId="77777777" w:rsidR="003B0964" w:rsidRPr="00785327"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53E74366" w14:textId="0BC187AF" w:rsidR="00D16ABB" w:rsidRPr="00785327" w:rsidRDefault="00D16ABB"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74300EE4" w14:textId="77777777" w:rsidR="00937A24" w:rsidRPr="00937A24" w:rsidRDefault="00937A24" w:rsidP="00937A24">
      <w:pPr>
        <w:pBdr>
          <w:top w:val="nil"/>
          <w:left w:val="nil"/>
          <w:bottom w:val="nil"/>
          <w:right w:val="nil"/>
          <w:between w:val="nil"/>
        </w:pBdr>
        <w:tabs>
          <w:tab w:val="left" w:pos="284"/>
        </w:tabs>
        <w:spacing w:after="0" w:line="240" w:lineRule="auto"/>
        <w:ind w:left="720"/>
        <w:contextualSpacing/>
        <w:jc w:val="both"/>
        <w:rPr>
          <w:rFonts w:ascii="Times New Roman" w:eastAsia="Times New Roman" w:hAnsi="Times New Roman" w:cs="Times New Roman"/>
          <w:color w:val="000000"/>
          <w:sz w:val="28"/>
          <w:szCs w:val="28"/>
        </w:rPr>
      </w:pPr>
      <w:r w:rsidRPr="00937A24">
        <w:rPr>
          <w:rFonts w:ascii="Times New Roman" w:eastAsia="Times New Roman" w:hAnsi="Times New Roman" w:cs="Times New Roman"/>
          <w:b/>
          <w:bCs/>
          <w:sz w:val="28"/>
          <w:szCs w:val="28"/>
        </w:rPr>
        <w:t>Inclusion criteria</w:t>
      </w:r>
    </w:p>
    <w:p w14:paraId="749166F8" w14:textId="77777777" w:rsidR="00937A24" w:rsidRPr="00937A24" w:rsidRDefault="00937A24" w:rsidP="00937A24">
      <w:pPr>
        <w:tabs>
          <w:tab w:val="left" w:pos="284"/>
        </w:tabs>
        <w:spacing w:line="240" w:lineRule="auto"/>
        <w:ind w:firstLine="720"/>
        <w:contextualSpacing/>
        <w:jc w:val="both"/>
        <w:rPr>
          <w:rFonts w:ascii="Times New Roman" w:eastAsia="Times New Roman" w:hAnsi="Times New Roman" w:cs="Times New Roman"/>
          <w:color w:val="000000"/>
          <w:sz w:val="28"/>
          <w:szCs w:val="28"/>
        </w:rPr>
      </w:pPr>
      <w:r w:rsidRPr="00937A24">
        <w:rPr>
          <w:rFonts w:ascii="Times New Roman" w:eastAsia="Times New Roman" w:hAnsi="Times New Roman" w:cs="Times New Roman"/>
          <w:color w:val="000000"/>
          <w:sz w:val="28"/>
          <w:szCs w:val="28"/>
        </w:rPr>
        <w:t>Verified diagnosis of type 2 diabetes/pre-diabetes in combination with negative cardiovascular events, including non-fatal myocardial infarction and non-fatal stroke.</w:t>
      </w:r>
    </w:p>
    <w:p w14:paraId="079DDEA5" w14:textId="77777777" w:rsidR="00937A24" w:rsidRPr="00937A24" w:rsidRDefault="00937A24" w:rsidP="00937A24">
      <w:pPr>
        <w:tabs>
          <w:tab w:val="left" w:pos="284"/>
        </w:tabs>
        <w:spacing w:line="240" w:lineRule="auto"/>
        <w:ind w:firstLine="720"/>
        <w:contextualSpacing/>
        <w:jc w:val="both"/>
        <w:rPr>
          <w:rFonts w:ascii="Times New Roman" w:eastAsia="Times New Roman" w:hAnsi="Times New Roman" w:cs="Times New Roman"/>
          <w:color w:val="000000"/>
          <w:sz w:val="28"/>
          <w:szCs w:val="28"/>
        </w:rPr>
      </w:pPr>
      <w:r w:rsidRPr="00937A24">
        <w:rPr>
          <w:rFonts w:ascii="Times New Roman" w:eastAsia="Times New Roman" w:hAnsi="Times New Roman" w:cs="Times New Roman"/>
          <w:color w:val="000000"/>
          <w:sz w:val="28"/>
          <w:szCs w:val="28"/>
        </w:rPr>
        <w:lastRenderedPageBreak/>
        <w:t>Patients with type 2 diabetes/pre-diabetes and risk factors for cardiovascular diseases, including arterial hypertension, abdominal obesity, and dyslipidemia, without a history of cardiovascular events.</w:t>
      </w:r>
    </w:p>
    <w:p w14:paraId="2F8118CC" w14:textId="65BFBC0B" w:rsidR="00937A24" w:rsidRPr="007E4AAB" w:rsidRDefault="00937A24" w:rsidP="00937A24">
      <w:pPr>
        <w:tabs>
          <w:tab w:val="left" w:pos="284"/>
        </w:tabs>
        <w:spacing w:line="240" w:lineRule="auto"/>
        <w:ind w:firstLine="720"/>
        <w:contextualSpacing/>
        <w:jc w:val="both"/>
        <w:rPr>
          <w:rFonts w:ascii="Times New Roman" w:eastAsia="Times New Roman" w:hAnsi="Times New Roman" w:cs="Times New Roman"/>
          <w:b/>
          <w:bCs/>
          <w:sz w:val="28"/>
          <w:szCs w:val="28"/>
        </w:rPr>
      </w:pPr>
      <w:r w:rsidRPr="007E4AAB">
        <w:rPr>
          <w:rFonts w:ascii="Times New Roman" w:eastAsia="Times New Roman" w:hAnsi="Times New Roman" w:cs="Times New Roman"/>
          <w:b/>
          <w:bCs/>
          <w:sz w:val="28"/>
          <w:szCs w:val="28"/>
        </w:rPr>
        <w:t>Exclusion criteria</w:t>
      </w:r>
    </w:p>
    <w:p w14:paraId="3EC14685" w14:textId="77777777" w:rsidR="00937A24" w:rsidRPr="007E4AAB" w:rsidRDefault="00937A24" w:rsidP="00937A24">
      <w:pPr>
        <w:tabs>
          <w:tab w:val="left" w:pos="284"/>
        </w:tabs>
        <w:spacing w:line="240" w:lineRule="auto"/>
        <w:ind w:firstLine="720"/>
        <w:contextualSpacing/>
        <w:jc w:val="both"/>
        <w:rPr>
          <w:rFonts w:ascii="Times New Roman" w:eastAsia="Times New Roman" w:hAnsi="Times New Roman" w:cs="Times New Roman"/>
          <w:sz w:val="28"/>
          <w:szCs w:val="28"/>
        </w:rPr>
      </w:pPr>
    </w:p>
    <w:p w14:paraId="5E4842F5" w14:textId="77777777" w:rsidR="00937A24" w:rsidRPr="00937A24" w:rsidRDefault="00937A24" w:rsidP="00937A24">
      <w:pPr>
        <w:tabs>
          <w:tab w:val="left" w:pos="284"/>
        </w:tabs>
        <w:spacing w:line="240" w:lineRule="auto"/>
        <w:ind w:firstLine="720"/>
        <w:contextualSpacing/>
        <w:jc w:val="both"/>
        <w:rPr>
          <w:rFonts w:ascii="Times New Roman" w:eastAsia="Times New Roman" w:hAnsi="Times New Roman" w:cs="Times New Roman"/>
          <w:sz w:val="28"/>
          <w:szCs w:val="28"/>
        </w:rPr>
      </w:pPr>
      <w:r w:rsidRPr="00937A24">
        <w:rPr>
          <w:rFonts w:ascii="Times New Roman" w:eastAsia="Times New Roman" w:hAnsi="Times New Roman" w:cs="Times New Roman"/>
          <w:sz w:val="28"/>
          <w:szCs w:val="28"/>
        </w:rPr>
        <w:t>Pregnant women, individuals with severe mental and oncological disorders, and patients with type 1 diabetes are excluded from the study.</w:t>
      </w:r>
    </w:p>
    <w:p w14:paraId="66035E96" w14:textId="0649F4FD" w:rsidR="00937A24" w:rsidRPr="009D6634" w:rsidRDefault="00937A24" w:rsidP="00937A24">
      <w:pPr>
        <w:tabs>
          <w:tab w:val="left" w:pos="284"/>
        </w:tabs>
        <w:spacing w:line="240" w:lineRule="auto"/>
        <w:ind w:firstLine="720"/>
        <w:contextualSpacing/>
        <w:jc w:val="both"/>
        <w:rPr>
          <w:rFonts w:ascii="Times New Roman" w:eastAsia="Times New Roman" w:hAnsi="Times New Roman" w:cs="Times New Roman"/>
          <w:b/>
          <w:bCs/>
          <w:sz w:val="28"/>
          <w:szCs w:val="28"/>
        </w:rPr>
      </w:pPr>
      <w:r w:rsidRPr="009D6634">
        <w:rPr>
          <w:rFonts w:ascii="Times New Roman" w:eastAsia="Times New Roman" w:hAnsi="Times New Roman" w:cs="Times New Roman"/>
          <w:b/>
          <w:bCs/>
          <w:sz w:val="28"/>
          <w:szCs w:val="28"/>
        </w:rPr>
        <w:t>Ethical approval</w:t>
      </w:r>
    </w:p>
    <w:p w14:paraId="06F06AE3" w14:textId="77777777" w:rsidR="009D6634" w:rsidRPr="007E4AAB" w:rsidRDefault="009D6634" w:rsidP="009D6634">
      <w:pPr>
        <w:tabs>
          <w:tab w:val="left" w:pos="284"/>
        </w:tabs>
        <w:spacing w:after="0" w:line="240" w:lineRule="auto"/>
        <w:ind w:firstLine="851"/>
        <w:contextualSpacing/>
        <w:jc w:val="both"/>
        <w:rPr>
          <w:rFonts w:ascii="Times New Roman" w:eastAsia="Times New Roman" w:hAnsi="Times New Roman" w:cs="Times New Roman"/>
          <w:sz w:val="28"/>
          <w:szCs w:val="28"/>
        </w:rPr>
      </w:pPr>
      <w:bookmarkStart w:id="1" w:name="_Hlk147426151"/>
    </w:p>
    <w:p w14:paraId="37937B25" w14:textId="77777777" w:rsidR="009D6634" w:rsidRPr="009D6634" w:rsidRDefault="009D6634" w:rsidP="009D6634">
      <w:pPr>
        <w:tabs>
          <w:tab w:val="left" w:pos="284"/>
        </w:tabs>
        <w:spacing w:after="0" w:line="240" w:lineRule="auto"/>
        <w:ind w:firstLine="851"/>
        <w:contextualSpacing/>
        <w:jc w:val="both"/>
        <w:rPr>
          <w:rFonts w:ascii="Times New Roman" w:eastAsia="Times New Roman" w:hAnsi="Times New Roman" w:cs="Times New Roman"/>
          <w:sz w:val="28"/>
          <w:szCs w:val="28"/>
        </w:rPr>
      </w:pPr>
      <w:r w:rsidRPr="009D6634">
        <w:rPr>
          <w:rFonts w:ascii="Times New Roman" w:eastAsia="Times New Roman" w:hAnsi="Times New Roman" w:cs="Times New Roman"/>
          <w:sz w:val="28"/>
          <w:szCs w:val="28"/>
        </w:rPr>
        <w:t>The research protocol was developed in accordance with the ethical principles of scientific research outlined in the Helsinki Declaration by the World Medical Association. Research Protocol No. 62 was approved on June 18, 2018, by the Ethics Committee of the Karaganda State Medical University, Karaganda, Kazakhstan.</w:t>
      </w:r>
    </w:p>
    <w:bookmarkEnd w:id="1"/>
    <w:p w14:paraId="2E712B78" w14:textId="497C602C" w:rsidR="007532D5" w:rsidRPr="007532D5" w:rsidRDefault="007532D5" w:rsidP="007532D5">
      <w:pPr>
        <w:tabs>
          <w:tab w:val="left" w:pos="284"/>
        </w:tabs>
        <w:spacing w:after="0" w:line="240" w:lineRule="auto"/>
        <w:ind w:firstLine="851"/>
        <w:contextualSpacing/>
        <w:jc w:val="both"/>
        <w:rPr>
          <w:rFonts w:ascii="Times New Roman" w:eastAsia="Times New Roman" w:hAnsi="Times New Roman" w:cs="Times New Roman"/>
          <w:sz w:val="28"/>
          <w:szCs w:val="28"/>
        </w:rPr>
      </w:pPr>
      <w:r w:rsidRPr="007532D5">
        <w:rPr>
          <w:rFonts w:ascii="Times New Roman" w:eastAsia="Times New Roman" w:hAnsi="Times New Roman" w:cs="Times New Roman"/>
          <w:sz w:val="28"/>
          <w:szCs w:val="28"/>
        </w:rPr>
        <w:t>The survey was conducted based on a developed questionnaire consisting of the following sections: general and demographic information, behavioral risk factors (sufficient consumption of vegetables and fruits, physical activity), and a history of diabetes and arterial hypertension. Clinical examination included patient examination, measurement of blood pressure (BP), body mass index (BMI), and waist circumference. The study of carbohydrate metabolism regulation parameters involved determining fasting blood glucose levels, HbA1C, 1.5-AG, insulin, and the homeostatic model assessment of insulin resistance (HOMA-IR).</w:t>
      </w:r>
    </w:p>
    <w:p w14:paraId="7D95DBC1" w14:textId="77777777" w:rsidR="007532D5" w:rsidRPr="007532D5" w:rsidRDefault="007532D5" w:rsidP="007532D5">
      <w:pPr>
        <w:tabs>
          <w:tab w:val="left" w:pos="284"/>
        </w:tabs>
        <w:spacing w:after="0" w:line="240" w:lineRule="auto"/>
        <w:ind w:firstLine="851"/>
        <w:contextualSpacing/>
        <w:jc w:val="both"/>
        <w:rPr>
          <w:rFonts w:ascii="Times New Roman" w:eastAsia="Times New Roman" w:hAnsi="Times New Roman" w:cs="Times New Roman"/>
          <w:sz w:val="28"/>
          <w:szCs w:val="28"/>
        </w:rPr>
      </w:pPr>
      <w:r w:rsidRPr="007532D5">
        <w:rPr>
          <w:rFonts w:ascii="Times New Roman" w:eastAsia="Times New Roman" w:hAnsi="Times New Roman" w:cs="Times New Roman"/>
          <w:sz w:val="28"/>
          <w:szCs w:val="28"/>
        </w:rPr>
        <w:t>The examination of lipid metabolism parameters included determining total cholesterol, high-density lipoprotein cholesterol, low-density lipoprotein cholesterol, triglycerides, and HbA1C. Insulin resistance indices and the incretin part of the counterregulatory response were determined using multiplex immunoassay analysis with XMap technology on Bioplex 3D. The concentration of 1.5-AG in blood plasma was determined using high-performance liquid chromatography with mass spectrometry.</w:t>
      </w:r>
    </w:p>
    <w:p w14:paraId="06AE375C" w14:textId="77777777" w:rsidR="00CE1A60" w:rsidRPr="006F3D86" w:rsidRDefault="00CE1A60" w:rsidP="00CE1A60">
      <w:pPr>
        <w:spacing w:after="0" w:line="240" w:lineRule="auto"/>
        <w:ind w:firstLine="851"/>
        <w:contextualSpacing/>
        <w:jc w:val="both"/>
        <w:rPr>
          <w:rFonts w:ascii="Times New Roman" w:eastAsia="Times New Roman" w:hAnsi="Times New Roman" w:cs="Times New Roman"/>
          <w:sz w:val="28"/>
          <w:szCs w:val="28"/>
        </w:rPr>
      </w:pPr>
      <w:r w:rsidRPr="006F3D86">
        <w:rPr>
          <w:rFonts w:ascii="Times New Roman" w:eastAsia="Times New Roman" w:hAnsi="Times New Roman" w:cs="Times New Roman"/>
          <w:sz w:val="28"/>
          <w:szCs w:val="28"/>
        </w:rPr>
        <w:t>All values were presented either as the median with interquartile range or as the mean ± standard deviation, depending on the normal distribution verification using the Kolmogorov-Smirnov test.</w:t>
      </w:r>
    </w:p>
    <w:p w14:paraId="4747537D" w14:textId="16150B7C" w:rsidR="00CE1A60" w:rsidRPr="006F3D86" w:rsidRDefault="00CE1A60" w:rsidP="00CE1A60">
      <w:pPr>
        <w:spacing w:after="0" w:line="240" w:lineRule="auto"/>
        <w:ind w:firstLine="851"/>
        <w:contextualSpacing/>
        <w:jc w:val="both"/>
        <w:rPr>
          <w:rFonts w:ascii="Times New Roman" w:eastAsia="Times New Roman" w:hAnsi="Times New Roman" w:cs="Times New Roman"/>
          <w:sz w:val="28"/>
          <w:szCs w:val="28"/>
        </w:rPr>
      </w:pPr>
      <w:r w:rsidRPr="006F3D86">
        <w:rPr>
          <w:rFonts w:ascii="Times New Roman" w:eastAsia="Times New Roman" w:hAnsi="Times New Roman" w:cs="Times New Roman"/>
          <w:sz w:val="28"/>
          <w:szCs w:val="28"/>
        </w:rPr>
        <w:t>To assess correlations, the Pearson correlation coefficient was used for normally distributed data, and the Spearman rank correlation coefficient was used for non-normally distributed data. Cluster analysis was performed using the K-means clustering method. Considering the linkage coefficient in the hierarchical cluster analysis protocol, the optimal number of clusters was determined as 2. All variables included in the analysis were quantitative. Binary logistic regression was conducted depending on the data type and research questions posed. The significance level was set at p &lt; 0.05. Sensitivity and specificity were calculated, and the quality of the model was judged by the area under the ROC curve. Statistical analyses were performed using SPSS Statistical Software 21.0 (SPSS Inc., Chicago, Illinois).</w:t>
      </w:r>
    </w:p>
    <w:p w14:paraId="3C9F6921" w14:textId="77777777" w:rsidR="006F3D86" w:rsidRPr="007E4AAB" w:rsidRDefault="006F3D86" w:rsidP="006F3D86">
      <w:pPr>
        <w:tabs>
          <w:tab w:val="left" w:pos="284"/>
        </w:tabs>
        <w:spacing w:after="0" w:line="240" w:lineRule="auto"/>
        <w:ind w:firstLine="720"/>
        <w:contextualSpacing/>
        <w:jc w:val="both"/>
        <w:rPr>
          <w:rFonts w:ascii="Times New Roman" w:eastAsia="Times New Roman" w:hAnsi="Times New Roman" w:cs="Times New Roman"/>
          <w:b/>
          <w:sz w:val="28"/>
          <w:szCs w:val="28"/>
        </w:rPr>
      </w:pPr>
      <w:bookmarkStart w:id="2" w:name="_Hlk147446870"/>
      <w:r w:rsidRPr="007E4AAB">
        <w:rPr>
          <w:rFonts w:ascii="Times New Roman" w:eastAsia="Times New Roman" w:hAnsi="Times New Roman" w:cs="Times New Roman"/>
          <w:b/>
          <w:sz w:val="28"/>
          <w:szCs w:val="28"/>
        </w:rPr>
        <w:t>Conclusions:</w:t>
      </w:r>
    </w:p>
    <w:p w14:paraId="6AE606C2" w14:textId="77777777" w:rsidR="006F3D86" w:rsidRPr="007E4AAB" w:rsidRDefault="006F3D86" w:rsidP="006F3D86">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7E4AAB">
        <w:rPr>
          <w:rFonts w:ascii="Times New Roman" w:eastAsia="Times New Roman" w:hAnsi="Times New Roman" w:cs="Times New Roman"/>
          <w:b/>
          <w:sz w:val="28"/>
          <w:szCs w:val="28"/>
        </w:rPr>
        <w:t>Conclusion 1</w:t>
      </w:r>
    </w:p>
    <w:p w14:paraId="603F4AE1" w14:textId="77777777" w:rsidR="00F621B7" w:rsidRPr="00F621B7" w:rsidRDefault="00F621B7" w:rsidP="006F3D86">
      <w:pPr>
        <w:tabs>
          <w:tab w:val="left" w:pos="284"/>
        </w:tabs>
        <w:spacing w:after="0" w:line="240" w:lineRule="auto"/>
        <w:ind w:firstLine="720"/>
        <w:contextualSpacing/>
        <w:jc w:val="both"/>
        <w:rPr>
          <w:rFonts w:ascii="Times New Roman" w:eastAsia="Times New Roman" w:hAnsi="Times New Roman" w:cs="Times New Roman"/>
          <w:sz w:val="28"/>
          <w:szCs w:val="28"/>
        </w:rPr>
      </w:pPr>
      <w:r w:rsidRPr="00F621B7">
        <w:rPr>
          <w:rFonts w:ascii="Times New Roman" w:eastAsia="Times New Roman" w:hAnsi="Times New Roman" w:cs="Times New Roman"/>
          <w:sz w:val="28"/>
          <w:szCs w:val="28"/>
        </w:rPr>
        <w:lastRenderedPageBreak/>
        <w:t>The blood glucose concentration is significantly higher in patients with type 2 diabetes and cardiovascular events who have achieved the target level of glycated hemoglobin (Me1=9.81, Q25;Q75 7.7-14.8; Me2=8.55, Q25;Q75 6.72-10.07, p=0.012). However, it is not a significant factor influencing the probability of these events (OR 0.971, 95% CI 0.847-1.113, p=0.448). The concentration of glycated hemoglobin does not show significant differences between patients with type 2 diabetes with and without cardiovascular events (Me1=8.2, Q25;Q75 7.8-9.05; Me2=7.9, Q25;Q75 6.9-9.8, p=0.237) and is also not a significant factor in the probability of these events (OR 1.139, 95% CI 0.578-2.242, p=0.707).</w:t>
      </w:r>
    </w:p>
    <w:p w14:paraId="735502AE" w14:textId="280844AC" w:rsidR="006F3D86" w:rsidRPr="006F3D86" w:rsidRDefault="006F3D86" w:rsidP="006F3D86">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F621B7">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2</w:t>
      </w:r>
    </w:p>
    <w:p w14:paraId="6DA73FF9" w14:textId="77777777" w:rsidR="00F621B7" w:rsidRDefault="00F621B7" w:rsidP="006F3D86">
      <w:pPr>
        <w:tabs>
          <w:tab w:val="left" w:pos="284"/>
        </w:tabs>
        <w:spacing w:after="0" w:line="240" w:lineRule="auto"/>
        <w:ind w:firstLine="720"/>
        <w:contextualSpacing/>
        <w:jc w:val="both"/>
        <w:rPr>
          <w:rFonts w:ascii="Times New Roman" w:eastAsia="Times New Roman" w:hAnsi="Times New Roman" w:cs="Times New Roman"/>
          <w:sz w:val="28"/>
          <w:szCs w:val="28"/>
        </w:rPr>
      </w:pPr>
      <w:r w:rsidRPr="00F621B7">
        <w:rPr>
          <w:rFonts w:ascii="Times New Roman" w:eastAsia="Times New Roman" w:hAnsi="Times New Roman" w:cs="Times New Roman"/>
          <w:sz w:val="28"/>
          <w:szCs w:val="28"/>
        </w:rPr>
        <w:t>The concentration of 1,5-AG in patients with type 2 diabetes and cardiovascular events is lower than in patients without cardiovascular events (Me1=215.8, Q25;Q75 186.4–280.8; Me2=275.8, Q25;Q75 233.3-350.3, p&lt;0.001). The reduction in the concentration of 1,5-AG is associated with an increased probability of developing cardiovascular events in patients with type 2 diabetes (OR=2.272, 95% CI 2.153-2.331, p&lt;0.001).</w:t>
      </w:r>
    </w:p>
    <w:p w14:paraId="20012BC5" w14:textId="48DD5233" w:rsidR="006F3D86" w:rsidRPr="00F621B7" w:rsidRDefault="006F3D86" w:rsidP="006F3D86">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F621B7">
        <w:rPr>
          <w:rFonts w:ascii="Times New Roman" w:eastAsia="Times New Roman" w:hAnsi="Times New Roman" w:cs="Times New Roman"/>
          <w:b/>
          <w:sz w:val="28"/>
          <w:szCs w:val="28"/>
        </w:rPr>
        <w:t>Conclusion 3</w:t>
      </w:r>
    </w:p>
    <w:p w14:paraId="4C82D9E1" w14:textId="77777777" w:rsidR="00FB162C" w:rsidRPr="007E4AAB" w:rsidRDefault="00FB162C" w:rsidP="00FB162C">
      <w:pPr>
        <w:tabs>
          <w:tab w:val="left" w:pos="284"/>
        </w:tabs>
        <w:spacing w:after="0" w:line="240" w:lineRule="auto"/>
        <w:ind w:firstLine="720"/>
        <w:contextualSpacing/>
        <w:jc w:val="both"/>
        <w:rPr>
          <w:rFonts w:ascii="Times New Roman" w:eastAsia="Times New Roman" w:hAnsi="Times New Roman" w:cs="Times New Roman"/>
          <w:sz w:val="28"/>
          <w:szCs w:val="28"/>
        </w:rPr>
      </w:pPr>
    </w:p>
    <w:p w14:paraId="26D1CBE3" w14:textId="77777777" w:rsidR="00FB162C" w:rsidRPr="00FB162C" w:rsidRDefault="00FB162C" w:rsidP="00FB162C">
      <w:pPr>
        <w:tabs>
          <w:tab w:val="left" w:pos="284"/>
        </w:tabs>
        <w:spacing w:after="0" w:line="240" w:lineRule="auto"/>
        <w:ind w:firstLine="720"/>
        <w:contextualSpacing/>
        <w:jc w:val="both"/>
        <w:rPr>
          <w:rFonts w:ascii="Times New Roman" w:eastAsia="Times New Roman" w:hAnsi="Times New Roman" w:cs="Times New Roman"/>
          <w:sz w:val="28"/>
          <w:szCs w:val="28"/>
        </w:rPr>
      </w:pPr>
      <w:r w:rsidRPr="00FB162C">
        <w:rPr>
          <w:rFonts w:ascii="Times New Roman" w:eastAsia="Times New Roman" w:hAnsi="Times New Roman" w:cs="Times New Roman"/>
          <w:sz w:val="28"/>
          <w:szCs w:val="28"/>
        </w:rPr>
        <w:t>In patients with type 2 diabetes and cardiovascular events, a correlation was observed between the insulin resistance index HOMA-IR and 1,5-AG (r=0.36, p&lt;0.001), glucagon-like peptide-1 (r=0.42, p&lt;0.001), glucose-dependent insulinotropic polypeptide (r=0.39, p&lt;0.001), and glucagon (r=0.56, p&lt;0.001). The model of cardiovascular event development, adjusted for confounders such as gender, age, glucose level, and glycated hemoglobin, demonstrated an increased risk of cardiovascular events with a decrease in the concentration of 1,5-AG (adjusted OR=3.217, 95% CI 2.576-4.132, p=0.023) and an increase in HOMA-IR (adjusted OR=2.284, 95% CI 1.197-2.654, p=0.043). The concentration of 1,5-AG (AUC 0.810), as well as HOMA-IR (AUC 0.616), showed high diagnostic significance in the development of cardiovascular events.</w:t>
      </w:r>
    </w:p>
    <w:p w14:paraId="342D581C" w14:textId="7B848AE7" w:rsidR="006F3D86" w:rsidRPr="006F3D86" w:rsidRDefault="006F3D86" w:rsidP="00FB162C">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FB162C">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4</w:t>
      </w:r>
    </w:p>
    <w:p w14:paraId="24AC87A2" w14:textId="77777777" w:rsidR="00FB162C" w:rsidRPr="00FB162C" w:rsidRDefault="00FB162C" w:rsidP="006F3D86">
      <w:pPr>
        <w:tabs>
          <w:tab w:val="left" w:pos="284"/>
        </w:tabs>
        <w:spacing w:after="0" w:line="240" w:lineRule="auto"/>
        <w:ind w:firstLine="720"/>
        <w:contextualSpacing/>
        <w:jc w:val="both"/>
        <w:rPr>
          <w:rFonts w:ascii="Times New Roman" w:eastAsia="Times New Roman" w:hAnsi="Times New Roman" w:cs="Times New Roman"/>
          <w:sz w:val="28"/>
          <w:szCs w:val="28"/>
        </w:rPr>
      </w:pPr>
      <w:r w:rsidRPr="00FB162C">
        <w:rPr>
          <w:rFonts w:ascii="Times New Roman" w:eastAsia="Times New Roman" w:hAnsi="Times New Roman" w:cs="Times New Roman"/>
          <w:sz w:val="28"/>
          <w:szCs w:val="28"/>
        </w:rPr>
        <w:t>In patients with prediabetes and cardiovascular events, a decrease in the concentration of 1,5-AG was observed compared to patients without cardiovascular events (Median 3=220.5, Q25;Q75 141.5–378.3; Median 4=314.6, Q25;Q75 250.8–415.1, p=0.015). In patients with prediabetes, 1,5-AG had a higher concentration than in patients with type 2 diabetes. A decrease in the concentration of 1,5-AG is associated with an increased probability of cardiovascular events in patients with prediabetes (OR=1.775, 95% CI 1.460-1.990, p=0.042).</w:t>
      </w:r>
    </w:p>
    <w:p w14:paraId="6BC93F27" w14:textId="6A1E3A39" w:rsidR="006F3D86" w:rsidRPr="00FB162C" w:rsidRDefault="006F3D86" w:rsidP="006F3D86">
      <w:pPr>
        <w:tabs>
          <w:tab w:val="left" w:pos="284"/>
        </w:tabs>
        <w:spacing w:after="0" w:line="240" w:lineRule="auto"/>
        <w:ind w:firstLine="720"/>
        <w:contextualSpacing/>
        <w:jc w:val="both"/>
        <w:rPr>
          <w:rFonts w:ascii="Times New Roman" w:eastAsia="Times New Roman" w:hAnsi="Times New Roman" w:cs="Times New Roman"/>
          <w:b/>
          <w:sz w:val="28"/>
          <w:szCs w:val="28"/>
        </w:rPr>
      </w:pPr>
      <w:r w:rsidRPr="00FB162C">
        <w:rPr>
          <w:rFonts w:ascii="Times New Roman" w:eastAsia="Times New Roman" w:hAnsi="Times New Roman" w:cs="Times New Roman"/>
          <w:b/>
          <w:sz w:val="28"/>
          <w:szCs w:val="28"/>
        </w:rPr>
        <w:t>Conclusion 5</w:t>
      </w:r>
    </w:p>
    <w:bookmarkEnd w:id="2"/>
    <w:p w14:paraId="264E8CC6" w14:textId="00B0B64A" w:rsidR="00861C18" w:rsidRDefault="00FB162C" w:rsidP="00861C18">
      <w:pPr>
        <w:tabs>
          <w:tab w:val="left" w:pos="284"/>
        </w:tabs>
        <w:spacing w:after="0" w:line="240" w:lineRule="auto"/>
        <w:jc w:val="both"/>
        <w:rPr>
          <w:rFonts w:ascii="Times New Roman" w:eastAsia="Times New Roman" w:hAnsi="Times New Roman" w:cs="Times New Roman"/>
          <w:sz w:val="28"/>
          <w:szCs w:val="28"/>
        </w:rPr>
      </w:pPr>
      <w:r w:rsidRPr="00FB162C">
        <w:rPr>
          <w:rFonts w:ascii="Times New Roman" w:eastAsia="Times New Roman" w:hAnsi="Times New Roman" w:cs="Times New Roman"/>
          <w:sz w:val="28"/>
          <w:szCs w:val="28"/>
        </w:rPr>
        <w:t xml:space="preserve">In patients with prediabetes and cardiovascular events, a correlation was observed between HOMA-IR and 1,5-AG (r=0.287, p=0.034). The model of cardiovascular event development, adjusted for confounders such as gender, age, glucose level, and glycated hemoglobin, demonstrated an increased risk of cardiovascular events with a decrease in the concentration of 1,5-AG (adjusted OR=2.304, 95% CI 1.980-2.973, p=0.008) and an increase in the concentration of glucagon-like peptide-1 (adjusted </w:t>
      </w:r>
      <w:r w:rsidRPr="00FB162C">
        <w:rPr>
          <w:rFonts w:ascii="Times New Roman" w:eastAsia="Times New Roman" w:hAnsi="Times New Roman" w:cs="Times New Roman"/>
          <w:sz w:val="28"/>
          <w:szCs w:val="28"/>
        </w:rPr>
        <w:lastRenderedPageBreak/>
        <w:t>OR=1.775, 95% CI 1.460-1.990, p=0.002). The diagnostic significance of 1,5-AG was AUC=0.521, and for glucagon-like peptide-1AUC</w:t>
      </w:r>
      <w:r>
        <w:rPr>
          <w:rFonts w:ascii="Times New Roman" w:eastAsia="Times New Roman" w:hAnsi="Times New Roman" w:cs="Times New Roman"/>
          <w:sz w:val="28"/>
          <w:szCs w:val="28"/>
        </w:rPr>
        <w:t xml:space="preserve"> </w:t>
      </w:r>
      <w:r w:rsidRPr="00FB162C">
        <w:rPr>
          <w:rFonts w:ascii="Times New Roman" w:eastAsia="Times New Roman" w:hAnsi="Times New Roman" w:cs="Times New Roman"/>
          <w:sz w:val="28"/>
          <w:szCs w:val="28"/>
        </w:rPr>
        <w:t>was 0.714.</w:t>
      </w:r>
    </w:p>
    <w:p w14:paraId="3071F154" w14:textId="77777777" w:rsidR="00FB162C" w:rsidRPr="00FB162C" w:rsidRDefault="00FB162C" w:rsidP="00861C18">
      <w:pPr>
        <w:tabs>
          <w:tab w:val="left" w:pos="284"/>
        </w:tabs>
        <w:spacing w:after="0" w:line="240" w:lineRule="auto"/>
        <w:jc w:val="both"/>
        <w:rPr>
          <w:rFonts w:ascii="Times New Roman" w:eastAsia="Times New Roman" w:hAnsi="Times New Roman" w:cs="Times New Roman"/>
          <w:sz w:val="28"/>
          <w:szCs w:val="28"/>
        </w:rPr>
      </w:pPr>
    </w:p>
    <w:p w14:paraId="60CF42AC" w14:textId="2CD5AEB8" w:rsidR="004C484B" w:rsidRPr="007E4AAB" w:rsidRDefault="00861C18" w:rsidP="00861C18">
      <w:pPr>
        <w:tabs>
          <w:tab w:val="left" w:pos="284"/>
        </w:tabs>
        <w:spacing w:after="0" w:line="240" w:lineRule="auto"/>
        <w:jc w:val="both"/>
        <w:rPr>
          <w:rFonts w:ascii="Times New Roman" w:eastAsia="Times New Roman" w:hAnsi="Times New Roman" w:cs="Times New Roman"/>
          <w:b/>
          <w:bCs/>
          <w:sz w:val="28"/>
          <w:szCs w:val="28"/>
        </w:rPr>
      </w:pPr>
      <w:r w:rsidRPr="00FB162C">
        <w:rPr>
          <w:rFonts w:ascii="Times New Roman" w:eastAsia="Times New Roman" w:hAnsi="Times New Roman" w:cs="Times New Roman"/>
          <w:sz w:val="28"/>
          <w:szCs w:val="28"/>
        </w:rPr>
        <w:tab/>
      </w:r>
      <w:r w:rsidRPr="00FB162C">
        <w:rPr>
          <w:rFonts w:ascii="Times New Roman" w:eastAsia="Times New Roman" w:hAnsi="Times New Roman" w:cs="Times New Roman"/>
          <w:sz w:val="28"/>
          <w:szCs w:val="28"/>
        </w:rPr>
        <w:tab/>
      </w:r>
      <w:r w:rsidR="006F3D86" w:rsidRPr="006F3D86">
        <w:rPr>
          <w:rFonts w:ascii="Times New Roman" w:eastAsia="Times New Roman" w:hAnsi="Times New Roman" w:cs="Times New Roman"/>
          <w:b/>
          <w:bCs/>
          <w:sz w:val="28"/>
          <w:szCs w:val="28"/>
        </w:rPr>
        <w:t>References</w:t>
      </w:r>
      <w:r w:rsidR="008255DE" w:rsidRPr="007E4AAB">
        <w:rPr>
          <w:rFonts w:ascii="Times New Roman" w:eastAsia="Times New Roman" w:hAnsi="Times New Roman" w:cs="Times New Roman"/>
          <w:b/>
          <w:bCs/>
          <w:sz w:val="28"/>
          <w:szCs w:val="28"/>
        </w:rPr>
        <w:t>:</w:t>
      </w:r>
    </w:p>
    <w:p w14:paraId="3581CE7B" w14:textId="0236BBEA"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36EE7">
        <w:rPr>
          <w:rFonts w:ascii="Times New Roman" w:hAnsi="Times New Roman" w:cs="Times New Roman"/>
          <w:sz w:val="28"/>
          <w:szCs w:val="28"/>
        </w:rPr>
        <w:t xml:space="preserve">1. </w:t>
      </w:r>
      <w:r w:rsidRPr="00785327">
        <w:rPr>
          <w:rFonts w:ascii="Times New Roman" w:eastAsia="Times New Roman" w:hAnsi="Times New Roman" w:cs="Times New Roman"/>
          <w:sz w:val="28"/>
          <w:szCs w:val="28"/>
        </w:rPr>
        <w:t>World</w:t>
      </w:r>
      <w:r w:rsidRPr="00536EE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Health</w:t>
      </w:r>
      <w:r w:rsidRPr="00536EE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Organization</w:t>
      </w:r>
      <w:r w:rsidRPr="00536EE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Global Status Report on Noncommunicable Diseases. Geneva, Switzerland: World Health Organization; 2016.</w:t>
      </w:r>
    </w:p>
    <w:p w14:paraId="238DD399" w14:textId="1B6A0DA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2. </w:t>
      </w:r>
      <w:r w:rsidRPr="00785327">
        <w:rPr>
          <w:rFonts w:ascii="Times New Roman" w:eastAsia="Times New Roman" w:hAnsi="Times New Roman" w:cs="Times New Roman"/>
          <w:sz w:val="28"/>
          <w:szCs w:val="28"/>
        </w:rPr>
        <w:t>International Diabetes Federation. IDF Diabetes Atlas, 10th ed</w:t>
      </w:r>
      <w:r w:rsidR="00324D44">
        <w:rPr>
          <w:rFonts w:ascii="Times New Roman" w:eastAsia="Times New Roman" w:hAnsi="Times New Roman" w:cs="Times New Roman"/>
          <w:sz w:val="28"/>
          <w:szCs w:val="28"/>
        </w:rPr>
        <w:t>ition</w:t>
      </w:r>
      <w:r w:rsidRPr="00785327">
        <w:rPr>
          <w:rFonts w:ascii="Times New Roman" w:eastAsia="Times New Roman" w:hAnsi="Times New Roman" w:cs="Times New Roman"/>
          <w:sz w:val="28"/>
          <w:szCs w:val="28"/>
        </w:rPr>
        <w:t>. Brussels, Belgium: 2021. Available at: https://www.diabetesatlas.org</w:t>
      </w:r>
    </w:p>
    <w:p w14:paraId="4D0DF8DD" w14:textId="087BA658" w:rsidR="00C61303" w:rsidRPr="00A67204"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44A63">
        <w:rPr>
          <w:rFonts w:ascii="Times New Roman" w:hAnsi="Times New Roman" w:cs="Times New Roman"/>
          <w:sz w:val="28"/>
          <w:szCs w:val="28"/>
        </w:rPr>
        <w:t xml:space="preserve">3. </w:t>
      </w:r>
      <w:r w:rsidRPr="00544A63">
        <w:rPr>
          <w:rFonts w:ascii="Times New Roman" w:eastAsia="Times New Roman" w:hAnsi="Times New Roman" w:cs="Times New Roman"/>
          <w:sz w:val="28"/>
          <w:szCs w:val="28"/>
        </w:rPr>
        <w:t>Zhang P</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Zhang X</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Brown J</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Vistisen D</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xml:space="preserve"> et al. </w:t>
      </w:r>
      <w:r w:rsidRPr="00785327">
        <w:rPr>
          <w:rFonts w:ascii="Times New Roman" w:eastAsia="Times New Roman" w:hAnsi="Times New Roman" w:cs="Times New Roman"/>
          <w:sz w:val="28"/>
          <w:szCs w:val="28"/>
        </w:rPr>
        <w:t>Global healthcare expenditure on diabetes for 2010 and 2030</w:t>
      </w:r>
      <w:r w:rsidR="00A67204" w:rsidRPr="00A6720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Diabetes Res Clin Pract.</w:t>
      </w:r>
      <w:r w:rsidR="00A67204" w:rsidRPr="00A67204">
        <w:rPr>
          <w:rFonts w:ascii="Times New Roman" w:eastAsia="Times New Roman" w:hAnsi="Times New Roman" w:cs="Times New Roman"/>
          <w:sz w:val="28"/>
          <w:szCs w:val="28"/>
        </w:rPr>
        <w:t xml:space="preserve"> – </w:t>
      </w:r>
      <w:r w:rsidRPr="00A67204">
        <w:rPr>
          <w:rFonts w:ascii="Times New Roman" w:eastAsia="Times New Roman" w:hAnsi="Times New Roman" w:cs="Times New Roman"/>
          <w:sz w:val="28"/>
          <w:szCs w:val="28"/>
        </w:rPr>
        <w:t>2010</w:t>
      </w:r>
      <w:r w:rsidR="00A67204" w:rsidRPr="00A67204">
        <w:rPr>
          <w:rFonts w:ascii="Times New Roman" w:eastAsia="Times New Roman" w:hAnsi="Times New Roman" w:cs="Times New Roman"/>
          <w:sz w:val="28"/>
          <w:szCs w:val="28"/>
        </w:rPr>
        <w:t xml:space="preserve">. - № </w:t>
      </w:r>
      <w:r w:rsidRPr="00A67204">
        <w:rPr>
          <w:rFonts w:ascii="Times New Roman" w:eastAsia="Times New Roman" w:hAnsi="Times New Roman" w:cs="Times New Roman"/>
          <w:sz w:val="28"/>
          <w:szCs w:val="28"/>
        </w:rPr>
        <w:t>87</w:t>
      </w:r>
      <w:r w:rsidR="00A67204" w:rsidRPr="00A67204">
        <w:rPr>
          <w:rFonts w:ascii="Times New Roman" w:eastAsia="Times New Roman" w:hAnsi="Times New Roman" w:cs="Times New Roman"/>
          <w:sz w:val="28"/>
          <w:szCs w:val="28"/>
        </w:rPr>
        <w:t xml:space="preserve"> </w:t>
      </w:r>
      <w:r w:rsidRPr="00A67204">
        <w:rPr>
          <w:rFonts w:ascii="Times New Roman" w:eastAsia="Times New Roman" w:hAnsi="Times New Roman" w:cs="Times New Roman"/>
          <w:sz w:val="28"/>
          <w:szCs w:val="28"/>
        </w:rPr>
        <w:t>(3)</w:t>
      </w:r>
      <w:r w:rsidR="00A67204" w:rsidRPr="00A67204">
        <w:rPr>
          <w:rFonts w:ascii="Times New Roman" w:eastAsia="Times New Roman" w:hAnsi="Times New Roman" w:cs="Times New Roman"/>
          <w:sz w:val="28"/>
          <w:szCs w:val="28"/>
        </w:rPr>
        <w:t xml:space="preserve">. – </w:t>
      </w:r>
      <w:r w:rsidR="00A67204">
        <w:rPr>
          <w:rFonts w:ascii="Times New Roman" w:eastAsia="Times New Roman" w:hAnsi="Times New Roman" w:cs="Times New Roman"/>
          <w:sz w:val="28"/>
          <w:szCs w:val="28"/>
          <w:lang w:val="ru-RU"/>
        </w:rPr>
        <w:t>Р</w:t>
      </w:r>
      <w:r w:rsidR="00A67204" w:rsidRPr="00A67204">
        <w:rPr>
          <w:rFonts w:ascii="Times New Roman" w:eastAsia="Times New Roman" w:hAnsi="Times New Roman" w:cs="Times New Roman"/>
          <w:sz w:val="28"/>
          <w:szCs w:val="28"/>
        </w:rPr>
        <w:t xml:space="preserve">. </w:t>
      </w:r>
      <w:r w:rsidRPr="00A67204">
        <w:rPr>
          <w:rFonts w:ascii="Times New Roman" w:eastAsia="Times New Roman" w:hAnsi="Times New Roman" w:cs="Times New Roman"/>
          <w:sz w:val="28"/>
          <w:szCs w:val="28"/>
        </w:rPr>
        <w:t>293</w:t>
      </w:r>
      <w:r w:rsidR="00A67204" w:rsidRPr="00A67204">
        <w:rPr>
          <w:rFonts w:ascii="Times New Roman" w:eastAsia="Times New Roman" w:hAnsi="Times New Roman" w:cs="Times New Roman"/>
          <w:sz w:val="28"/>
          <w:szCs w:val="28"/>
        </w:rPr>
        <w:t>-</w:t>
      </w:r>
      <w:r w:rsidRPr="00A67204">
        <w:rPr>
          <w:rFonts w:ascii="Times New Roman" w:eastAsia="Times New Roman" w:hAnsi="Times New Roman" w:cs="Times New Roman"/>
          <w:sz w:val="28"/>
          <w:szCs w:val="28"/>
        </w:rPr>
        <w:t xml:space="preserve">301. https://doi.org/10.1016/j.diabres.2010.01.026 </w:t>
      </w:r>
    </w:p>
    <w:p w14:paraId="2456FC4D" w14:textId="02AB6DC2"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lang w:val="fr-FR"/>
        </w:rPr>
        <w:t xml:space="preserve">4. </w:t>
      </w:r>
      <w:r w:rsidRPr="00785327">
        <w:rPr>
          <w:rFonts w:ascii="Times New Roman" w:eastAsia="Times New Roman" w:hAnsi="Times New Roman" w:cs="Times New Roman"/>
          <w:sz w:val="28"/>
          <w:szCs w:val="28"/>
          <w:lang w:val="fr-FR"/>
        </w:rPr>
        <w:t>Cai X</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Zhang Y</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Li M</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Wu J</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H</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xml:space="preserve"> et al. </w:t>
      </w:r>
      <w:r w:rsidRPr="00785327">
        <w:rPr>
          <w:rFonts w:ascii="Times New Roman" w:eastAsia="Times New Roman" w:hAnsi="Times New Roman" w:cs="Times New Roman"/>
          <w:sz w:val="28"/>
          <w:szCs w:val="28"/>
        </w:rPr>
        <w:t>Association between prediabetes and risk of all-cause mortality and cardiovascular disease: Updated meta-analysis</w:t>
      </w:r>
      <w:r w:rsidR="00C27D81" w:rsidRPr="00C27D8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BMJ.</w:t>
      </w:r>
      <w:r w:rsidR="00C27D81" w:rsidRPr="00C27D8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2020</w:t>
      </w:r>
      <w:r w:rsidR="00C27D81" w:rsidRPr="00C27D81">
        <w:rPr>
          <w:rFonts w:ascii="Times New Roman" w:eastAsia="Times New Roman" w:hAnsi="Times New Roman" w:cs="Times New Roman"/>
          <w:sz w:val="28"/>
          <w:szCs w:val="28"/>
        </w:rPr>
        <w:t>. –</w:t>
      </w:r>
      <w:r w:rsidR="00C27D81">
        <w:rPr>
          <w:rFonts w:ascii="Times New Roman" w:eastAsia="Times New Roman" w:hAnsi="Times New Roman" w:cs="Times New Roman"/>
          <w:sz w:val="28"/>
          <w:szCs w:val="28"/>
        </w:rPr>
        <w:t xml:space="preserve">Vol. </w:t>
      </w:r>
      <w:r w:rsidRPr="00785327">
        <w:rPr>
          <w:rFonts w:ascii="Times New Roman" w:eastAsia="Times New Roman" w:hAnsi="Times New Roman" w:cs="Times New Roman"/>
          <w:sz w:val="28"/>
          <w:szCs w:val="28"/>
        </w:rPr>
        <w:t>370</w:t>
      </w:r>
      <w:r w:rsidR="00C27D81" w:rsidRPr="00C27D81">
        <w:rPr>
          <w:rFonts w:ascii="Times New Roman" w:eastAsia="Times New Roman" w:hAnsi="Times New Roman" w:cs="Times New Roman"/>
          <w:sz w:val="28"/>
          <w:szCs w:val="28"/>
        </w:rPr>
        <w:t xml:space="preserve">. – </w:t>
      </w:r>
      <w:r w:rsidR="00C27D81">
        <w:rPr>
          <w:rFonts w:ascii="Times New Roman" w:eastAsia="Times New Roman" w:hAnsi="Times New Roman" w:cs="Times New Roman"/>
          <w:sz w:val="28"/>
          <w:szCs w:val="28"/>
        </w:rPr>
        <w:t>P</w:t>
      </w:r>
      <w:r w:rsidRPr="00785327">
        <w:rPr>
          <w:rFonts w:ascii="Times New Roman" w:eastAsia="Times New Roman" w:hAnsi="Times New Roman" w:cs="Times New Roman"/>
          <w:sz w:val="28"/>
          <w:szCs w:val="28"/>
        </w:rPr>
        <w:t>.</w:t>
      </w:r>
      <w:r w:rsidR="00C27D81">
        <w:rPr>
          <w:rFonts w:ascii="Times New Roman" w:eastAsia="Times New Roman" w:hAnsi="Times New Roman" w:cs="Times New Roman"/>
          <w:sz w:val="28"/>
          <w:szCs w:val="28"/>
        </w:rPr>
        <w:t xml:space="preserve"> 1-12.</w:t>
      </w:r>
      <w:r w:rsidRPr="00785327">
        <w:rPr>
          <w:rFonts w:ascii="Times New Roman" w:eastAsia="Times New Roman" w:hAnsi="Times New Roman" w:cs="Times New Roman"/>
          <w:sz w:val="28"/>
          <w:szCs w:val="28"/>
        </w:rPr>
        <w:t xml:space="preserve"> https://doi.org/10.1136/bmj.m2297 </w:t>
      </w:r>
    </w:p>
    <w:p w14:paraId="52E734B4" w14:textId="4FAD4496"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5. </w:t>
      </w:r>
      <w:r w:rsidRPr="00785327">
        <w:rPr>
          <w:rFonts w:ascii="Times New Roman" w:eastAsia="Times New Roman" w:hAnsi="Times New Roman" w:cs="Times New Roman"/>
          <w:sz w:val="28"/>
          <w:szCs w:val="28"/>
        </w:rPr>
        <w:t>World Health Organization (WHO). Global action plan for the prevention and control of noncommunicable diseases 2013-2020. www.who.int. 14.11.2012.</w:t>
      </w:r>
    </w:p>
    <w:p w14:paraId="12C60D88" w14:textId="77777777" w:rsidR="009273A5" w:rsidRPr="00785327" w:rsidRDefault="00C61303" w:rsidP="009273A5">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lang w:val="ru-RU"/>
        </w:rPr>
        <w:t xml:space="preserve">6. </w:t>
      </w:r>
      <w:r w:rsidRPr="00785327">
        <w:rPr>
          <w:rFonts w:ascii="Times New Roman" w:eastAsia="Times New Roman" w:hAnsi="Times New Roman" w:cs="Times New Roman"/>
          <w:sz w:val="28"/>
          <w:szCs w:val="28"/>
          <w:lang w:val="ru-RU"/>
        </w:rPr>
        <w:t>Рудакова Л.Е., Беляева Ю.Б., Рахматуллов Ф.К. и др. Особенности течения фатального инфаркта миокарда у больных сахарным диабетом 2 типа // Известия высших учебных заведений. Поволжский</w:t>
      </w:r>
      <w:r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lang w:val="ru-RU"/>
        </w:rPr>
        <w:t>регион</w:t>
      </w:r>
      <w:r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lang w:val="ru-RU"/>
        </w:rPr>
        <w:t>Медицинские</w:t>
      </w:r>
      <w:r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lang w:val="ru-RU"/>
        </w:rPr>
        <w:t>науки</w:t>
      </w:r>
      <w:r w:rsidRPr="00785327">
        <w:rPr>
          <w:rFonts w:ascii="Times New Roman" w:eastAsia="Times New Roman" w:hAnsi="Times New Roman" w:cs="Times New Roman"/>
          <w:sz w:val="28"/>
          <w:szCs w:val="28"/>
        </w:rPr>
        <w:t xml:space="preserve">. – 2011. – № 2 (18). – </w:t>
      </w:r>
      <w:r w:rsidRPr="00785327">
        <w:rPr>
          <w:rFonts w:ascii="Times New Roman" w:eastAsia="Times New Roman" w:hAnsi="Times New Roman" w:cs="Times New Roman"/>
          <w:sz w:val="28"/>
          <w:szCs w:val="28"/>
          <w:lang w:val="ru-RU"/>
        </w:rPr>
        <w:t>С</w:t>
      </w:r>
      <w:r w:rsidRPr="00785327">
        <w:rPr>
          <w:rFonts w:ascii="Times New Roman" w:eastAsia="Times New Roman" w:hAnsi="Times New Roman" w:cs="Times New Roman"/>
          <w:sz w:val="28"/>
          <w:szCs w:val="28"/>
        </w:rPr>
        <w:t>. 117–127.</w:t>
      </w:r>
    </w:p>
    <w:p w14:paraId="71D08973" w14:textId="5178E47F" w:rsidR="00C61303" w:rsidRPr="00785327" w:rsidRDefault="00C61303" w:rsidP="009273A5">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7. </w:t>
      </w:r>
      <w:r w:rsidRPr="00785327">
        <w:rPr>
          <w:rFonts w:ascii="Times New Roman" w:hAnsi="Times New Roman" w:cs="Times New Roman"/>
          <w:sz w:val="28"/>
          <w:szCs w:val="28"/>
          <w:shd w:val="clear" w:color="auto" w:fill="FFFFFF"/>
        </w:rPr>
        <w:t>SCORE2 working group and ESC Cardiovascular risk collaboration. SCORE2 risk prediction algorithms: new models to estimate 10-year risk of cardiovascular disease in Europe</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 Eur Heart J.</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 2021</w:t>
      </w:r>
      <w:r w:rsidR="00CD283E" w:rsidRPr="00785327">
        <w:rPr>
          <w:rFonts w:ascii="Times New Roman" w:hAnsi="Times New Roman" w:cs="Times New Roman"/>
          <w:sz w:val="28"/>
          <w:szCs w:val="28"/>
          <w:shd w:val="clear" w:color="auto" w:fill="FFFFFF"/>
        </w:rPr>
        <w:t xml:space="preserve">. – Vol. </w:t>
      </w:r>
      <w:r w:rsidRPr="00785327">
        <w:rPr>
          <w:rFonts w:ascii="Times New Roman" w:hAnsi="Times New Roman" w:cs="Times New Roman"/>
          <w:sz w:val="28"/>
          <w:szCs w:val="28"/>
          <w:shd w:val="clear" w:color="auto" w:fill="FFFFFF"/>
        </w:rPr>
        <w:t>1</w:t>
      </w:r>
      <w:r w:rsidR="00CD283E" w:rsidRPr="00785327">
        <w:rPr>
          <w:rFonts w:ascii="Times New Roman" w:hAnsi="Times New Roman" w:cs="Times New Roman"/>
          <w:sz w:val="28"/>
          <w:szCs w:val="28"/>
          <w:shd w:val="clear" w:color="auto" w:fill="FFFFFF"/>
        </w:rPr>
        <w:t>, №</w:t>
      </w:r>
      <w:r w:rsidRPr="00785327">
        <w:rPr>
          <w:rFonts w:ascii="Times New Roman" w:hAnsi="Times New Roman" w:cs="Times New Roman"/>
          <w:sz w:val="28"/>
          <w:szCs w:val="28"/>
          <w:shd w:val="clear" w:color="auto" w:fill="FFFFFF"/>
        </w:rPr>
        <w:t>42</w:t>
      </w:r>
      <w:r w:rsidR="00CD283E" w:rsidRPr="00785327">
        <w:rPr>
          <w:rFonts w:ascii="Times New Roman" w:hAnsi="Times New Roman" w:cs="Times New Roman"/>
          <w:sz w:val="28"/>
          <w:szCs w:val="28"/>
          <w:shd w:val="clear" w:color="auto" w:fill="FFFFFF"/>
        </w:rPr>
        <w:t>. -</w:t>
      </w:r>
      <w:r w:rsidR="00CD283E" w:rsidRPr="00785327">
        <w:rPr>
          <w:rFonts w:ascii="Times New Roman" w:hAnsi="Times New Roman" w:cs="Times New Roman"/>
          <w:sz w:val="28"/>
          <w:szCs w:val="28"/>
          <w:shd w:val="clear" w:color="auto" w:fill="FFFFFF"/>
          <w:lang w:val="ru-RU"/>
        </w:rPr>
        <w:t>Р</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2439-2454. doi: 10.1093/eurheartj/ehab309. </w:t>
      </w:r>
    </w:p>
    <w:p w14:paraId="68360506" w14:textId="68617DDD"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8. </w:t>
      </w:r>
      <w:r w:rsidRPr="00785327">
        <w:rPr>
          <w:rFonts w:ascii="Times New Roman" w:eastAsia="Times New Roman" w:hAnsi="Times New Roman" w:cs="Times New Roman"/>
          <w:sz w:val="28"/>
          <w:szCs w:val="28"/>
        </w:rPr>
        <w:t>Khetan A</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K</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Rajagopalan S.</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Prediabetes </w:t>
      </w:r>
      <w:r w:rsidR="00785327"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Can J Cardiol.</w:t>
      </w:r>
      <w:r w:rsidR="00785327" w:rsidRPr="00785327">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2018</w:t>
      </w:r>
      <w:r w:rsidR="00785327" w:rsidRPr="00785327">
        <w:rPr>
          <w:rFonts w:ascii="Times New Roman" w:eastAsia="Times New Roman" w:hAnsi="Times New Roman" w:cs="Times New Roman"/>
          <w:sz w:val="28"/>
          <w:szCs w:val="28"/>
        </w:rPr>
        <w:t>. - №</w:t>
      </w:r>
      <w:r w:rsidRPr="00785327">
        <w:rPr>
          <w:rFonts w:ascii="Times New Roman" w:eastAsia="Times New Roman" w:hAnsi="Times New Roman" w:cs="Times New Roman"/>
          <w:sz w:val="28"/>
          <w:szCs w:val="28"/>
        </w:rPr>
        <w:t>34(5)</w:t>
      </w:r>
      <w:r w:rsidR="00785327" w:rsidRPr="00785327">
        <w:rPr>
          <w:rFonts w:ascii="Times New Roman" w:eastAsia="Times New Roman" w:hAnsi="Times New Roman" w:cs="Times New Roman"/>
          <w:sz w:val="28"/>
          <w:szCs w:val="28"/>
        </w:rPr>
        <w:t xml:space="preserve">. </w:t>
      </w:r>
      <w:r w:rsidR="00785327">
        <w:rPr>
          <w:rFonts w:ascii="Times New Roman" w:eastAsia="Times New Roman" w:hAnsi="Times New Roman" w:cs="Times New Roman"/>
          <w:sz w:val="28"/>
          <w:szCs w:val="28"/>
        </w:rPr>
        <w:t>–</w:t>
      </w:r>
      <w:r w:rsidR="00785327" w:rsidRPr="00785327">
        <w:rPr>
          <w:rFonts w:ascii="Times New Roman" w:eastAsia="Times New Roman" w:hAnsi="Times New Roman" w:cs="Times New Roman"/>
          <w:sz w:val="28"/>
          <w:szCs w:val="28"/>
        </w:rPr>
        <w:t xml:space="preserve"> </w:t>
      </w:r>
      <w:r w:rsidR="00785327">
        <w:rPr>
          <w:rFonts w:ascii="Times New Roman" w:eastAsia="Times New Roman" w:hAnsi="Times New Roman" w:cs="Times New Roman"/>
          <w:sz w:val="28"/>
          <w:szCs w:val="28"/>
          <w:lang w:val="ru-RU"/>
        </w:rPr>
        <w:t>Р</w:t>
      </w:r>
      <w:r w:rsidR="00785327"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615-</w:t>
      </w:r>
      <w:r w:rsidR="00785327" w:rsidRPr="00785327">
        <w:rPr>
          <w:rFonts w:ascii="Times New Roman" w:eastAsia="Times New Roman" w:hAnsi="Times New Roman" w:cs="Times New Roman"/>
          <w:sz w:val="28"/>
          <w:szCs w:val="28"/>
        </w:rPr>
        <w:t>6</w:t>
      </w:r>
      <w:r w:rsidRPr="00785327">
        <w:rPr>
          <w:rFonts w:ascii="Times New Roman" w:eastAsia="Times New Roman" w:hAnsi="Times New Roman" w:cs="Times New Roman"/>
          <w:sz w:val="28"/>
          <w:szCs w:val="28"/>
        </w:rPr>
        <w:t>23. https://doi.org/10.1016/j.cjca.2017.12.030</w:t>
      </w:r>
      <w:r w:rsidR="00A65505" w:rsidRPr="00324D4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w:t>
      </w:r>
    </w:p>
    <w:p w14:paraId="2B1A4966" w14:textId="77777777" w:rsidR="007549B5"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44A63">
        <w:rPr>
          <w:rFonts w:ascii="Times New Roman" w:hAnsi="Times New Roman" w:cs="Times New Roman"/>
          <w:sz w:val="28"/>
          <w:szCs w:val="28"/>
        </w:rPr>
        <w:t xml:space="preserve">9. </w:t>
      </w:r>
      <w:r w:rsidRPr="00544A63">
        <w:rPr>
          <w:rFonts w:ascii="Times New Roman" w:eastAsia="Times New Roman" w:hAnsi="Times New Roman" w:cs="Times New Roman"/>
          <w:sz w:val="28"/>
          <w:szCs w:val="28"/>
        </w:rPr>
        <w:t>Williams R</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Karuranga S</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Malanda B</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Saeedi P</w:t>
      </w:r>
      <w:r w:rsidR="00324D44" w:rsidRPr="00544A63">
        <w:rPr>
          <w:rFonts w:ascii="Times New Roman" w:eastAsia="Times New Roman" w:hAnsi="Times New Roman" w:cs="Times New Roman"/>
          <w:sz w:val="28"/>
          <w:szCs w:val="28"/>
        </w:rPr>
        <w:t xml:space="preserve">. </w:t>
      </w:r>
      <w:r w:rsidRPr="00544A63">
        <w:rPr>
          <w:rFonts w:ascii="Times New Roman" w:eastAsia="Times New Roman" w:hAnsi="Times New Roman" w:cs="Times New Roman"/>
          <w:sz w:val="28"/>
          <w:szCs w:val="28"/>
        </w:rPr>
        <w:t xml:space="preserve">et al. </w:t>
      </w:r>
      <w:r w:rsidRPr="00785327">
        <w:rPr>
          <w:rFonts w:ascii="Times New Roman" w:eastAsia="Times New Roman" w:hAnsi="Times New Roman" w:cs="Times New Roman"/>
          <w:sz w:val="28"/>
          <w:szCs w:val="28"/>
        </w:rPr>
        <w:t>Global and regional estimates and projections of diabetes-related health expenditure: Results from the International Diabetes Federation Diabetes Atlas, 9th edition</w:t>
      </w:r>
      <w:r w:rsidR="00324D44">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Diabetes Res Clin Pract.</w:t>
      </w:r>
      <w:r w:rsidR="00324D4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2020</w:t>
      </w:r>
      <w:r w:rsidR="00324D44">
        <w:rPr>
          <w:rFonts w:ascii="Times New Roman" w:eastAsia="Times New Roman" w:hAnsi="Times New Roman" w:cs="Times New Roman"/>
          <w:sz w:val="28"/>
          <w:szCs w:val="28"/>
        </w:rPr>
        <w:t xml:space="preserve">. - </w:t>
      </w:r>
      <w:r w:rsidR="00324D44" w:rsidRPr="00324D44">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162</w:t>
      </w:r>
      <w:r w:rsidR="00324D44" w:rsidRPr="00324D44">
        <w:rPr>
          <w:rFonts w:ascii="Times New Roman" w:eastAsia="Times New Roman" w:hAnsi="Times New Roman" w:cs="Times New Roman"/>
          <w:sz w:val="28"/>
          <w:szCs w:val="28"/>
        </w:rPr>
        <w:t>. -</w:t>
      </w:r>
      <w:r w:rsidR="00324D44">
        <w:rPr>
          <w:rFonts w:ascii="Times New Roman" w:eastAsia="Times New Roman" w:hAnsi="Times New Roman" w:cs="Times New Roman"/>
          <w:sz w:val="28"/>
          <w:szCs w:val="28"/>
          <w:lang w:val="ru-RU"/>
        </w:rPr>
        <w:t>Р</w:t>
      </w:r>
      <w:r w:rsidR="00324D44" w:rsidRPr="00324D44">
        <w:rPr>
          <w:rFonts w:ascii="Times New Roman" w:eastAsia="Times New Roman" w:hAnsi="Times New Roman" w:cs="Times New Roman"/>
          <w:sz w:val="28"/>
          <w:szCs w:val="28"/>
        </w:rPr>
        <w:t>.</w:t>
      </w:r>
      <w:r w:rsidR="007549B5" w:rsidRPr="007549B5">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108072</w:t>
      </w:r>
      <w:r w:rsidR="007549B5" w:rsidRPr="007549B5">
        <w:rPr>
          <w:rFonts w:ascii="Times New Roman" w:eastAsia="Times New Roman" w:hAnsi="Times New Roman" w:cs="Times New Roman"/>
          <w:sz w:val="28"/>
          <w:szCs w:val="28"/>
        </w:rPr>
        <w:t>-</w:t>
      </w:r>
      <w:r w:rsidR="007549B5" w:rsidRPr="00785327">
        <w:rPr>
          <w:rFonts w:ascii="Times New Roman" w:eastAsia="Times New Roman" w:hAnsi="Times New Roman" w:cs="Times New Roman"/>
          <w:sz w:val="28"/>
          <w:szCs w:val="28"/>
        </w:rPr>
        <w:t>10807</w:t>
      </w:r>
      <w:r w:rsidR="007549B5" w:rsidRPr="007549B5">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w:t>
      </w:r>
      <w:r w:rsidR="007549B5" w:rsidRPr="007549B5">
        <w:rPr>
          <w:rFonts w:ascii="Times New Roman" w:eastAsia="Times New Roman" w:hAnsi="Times New Roman" w:cs="Times New Roman"/>
          <w:sz w:val="28"/>
          <w:szCs w:val="28"/>
        </w:rPr>
        <w:t xml:space="preserve">  </w:t>
      </w:r>
    </w:p>
    <w:p w14:paraId="7B6BA7F2" w14:textId="2A7EA3A0"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eastAsia="Times New Roman" w:hAnsi="Times New Roman" w:cs="Times New Roman"/>
          <w:sz w:val="28"/>
          <w:szCs w:val="28"/>
        </w:rPr>
        <w:t>https://doi.org/10.1016/j.diabres.2020.108072</w:t>
      </w:r>
    </w:p>
    <w:p w14:paraId="6C16D6EA" w14:textId="15BB6049"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10. </w:t>
      </w:r>
      <w:r w:rsidRPr="00785327">
        <w:rPr>
          <w:rFonts w:ascii="Times New Roman" w:eastAsia="Times New Roman" w:hAnsi="Times New Roman" w:cs="Times New Roman"/>
          <w:sz w:val="28"/>
          <w:szCs w:val="28"/>
        </w:rPr>
        <w:t>Freckmann G., Hagenlocher S., Baumstark A. et al. Continuous glucose profiles in healthy subjects under everyday life conditions and after different meals // J Diabetes Sci Technol. – 2007. – Vol. 1, № 5. – P. 695–703.</w:t>
      </w:r>
    </w:p>
    <w:p w14:paraId="7CE9D6D1" w14:textId="7ABCD1FB" w:rsidR="00C61303" w:rsidRPr="00785327" w:rsidRDefault="00C61303" w:rsidP="0048439F">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11. </w:t>
      </w:r>
      <w:r w:rsidRPr="00785327">
        <w:rPr>
          <w:rFonts w:ascii="Times New Roman" w:eastAsia="Times New Roman" w:hAnsi="Times New Roman" w:cs="Times New Roman"/>
          <w:sz w:val="28"/>
          <w:szCs w:val="28"/>
        </w:rPr>
        <w:t>Selvin E, Warren B, He X, Sacks DB, Saenger AK.</w:t>
      </w:r>
      <w:r w:rsidR="006B34D2" w:rsidRPr="006B34D2">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Establishment of community-based reference intervals for fructosamine, glycated albumin, and 1,5-anhydroglucitol</w:t>
      </w:r>
      <w:r w:rsidR="006B34D2" w:rsidRPr="006B34D2">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Clin Chem.</w:t>
      </w:r>
      <w:r w:rsidR="000265A3" w:rsidRPr="000265A3">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2018</w:t>
      </w:r>
      <w:r w:rsidR="000265A3" w:rsidRPr="000265A3">
        <w:rPr>
          <w:rFonts w:ascii="Times New Roman" w:eastAsia="Times New Roman" w:hAnsi="Times New Roman" w:cs="Times New Roman"/>
          <w:sz w:val="28"/>
          <w:szCs w:val="28"/>
        </w:rPr>
        <w:t>. - №</w:t>
      </w:r>
      <w:r w:rsidRPr="00785327">
        <w:rPr>
          <w:rFonts w:ascii="Times New Roman" w:eastAsia="Times New Roman" w:hAnsi="Times New Roman" w:cs="Times New Roman"/>
          <w:sz w:val="28"/>
          <w:szCs w:val="28"/>
        </w:rPr>
        <w:t>64(5)</w:t>
      </w:r>
      <w:r w:rsidR="000265A3" w:rsidRPr="000265A3">
        <w:rPr>
          <w:rFonts w:ascii="Times New Roman" w:eastAsia="Times New Roman" w:hAnsi="Times New Roman" w:cs="Times New Roman"/>
          <w:sz w:val="28"/>
          <w:szCs w:val="28"/>
        </w:rPr>
        <w:t xml:space="preserve">. </w:t>
      </w:r>
      <w:r w:rsidR="000265A3">
        <w:rPr>
          <w:rFonts w:ascii="Times New Roman" w:eastAsia="Times New Roman" w:hAnsi="Times New Roman" w:cs="Times New Roman"/>
          <w:sz w:val="28"/>
          <w:szCs w:val="28"/>
          <w:lang w:val="ru-RU"/>
        </w:rPr>
        <w:t>Р</w:t>
      </w:r>
      <w:r w:rsidR="000265A3" w:rsidRPr="00544A6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843-</w:t>
      </w:r>
      <w:r w:rsidR="000265A3" w:rsidRPr="00544A63">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50. https://doi.org/</w:t>
      </w:r>
      <w:r w:rsidR="000265A3" w:rsidRPr="000265A3">
        <w:t xml:space="preserve"> </w:t>
      </w:r>
      <w:r w:rsidR="000265A3" w:rsidRPr="000265A3">
        <w:rPr>
          <w:rFonts w:ascii="Times New Roman" w:eastAsia="Times New Roman" w:hAnsi="Times New Roman" w:cs="Times New Roman"/>
          <w:sz w:val="28"/>
          <w:szCs w:val="28"/>
        </w:rPr>
        <w:t>10.1373/clinchem.2017.285742</w:t>
      </w:r>
      <w:r w:rsidRPr="00785327">
        <w:rPr>
          <w:rFonts w:ascii="Times New Roman" w:eastAsia="Times New Roman" w:hAnsi="Times New Roman" w:cs="Times New Roman"/>
          <w:sz w:val="28"/>
          <w:szCs w:val="28"/>
        </w:rPr>
        <w:t xml:space="preserve">clinchem.2017.285742 </w:t>
      </w:r>
    </w:p>
    <w:p w14:paraId="31E30590" w14:textId="7C864D75" w:rsidR="00C61303" w:rsidRPr="00785327" w:rsidRDefault="00C61303" w:rsidP="00C61303">
      <w:pPr>
        <w:spacing w:after="0" w:line="240" w:lineRule="auto"/>
        <w:contextualSpacing/>
        <w:jc w:val="both"/>
        <w:rPr>
          <w:rFonts w:ascii="Times New Roman" w:hAnsi="Times New Roman" w:cs="Times New Roman"/>
          <w:sz w:val="28"/>
          <w:szCs w:val="28"/>
        </w:rPr>
      </w:pPr>
      <w:r w:rsidRPr="00785327">
        <w:rPr>
          <w:rFonts w:ascii="Times New Roman" w:hAnsi="Times New Roman" w:cs="Times New Roman"/>
          <w:sz w:val="28"/>
          <w:szCs w:val="28"/>
        </w:rPr>
        <w:t xml:space="preserve">12. </w:t>
      </w:r>
      <w:r w:rsidRPr="00785327">
        <w:rPr>
          <w:rFonts w:ascii="Times New Roman" w:eastAsia="Times New Roman" w:hAnsi="Times New Roman" w:cs="Times New Roman"/>
          <w:sz w:val="28"/>
          <w:szCs w:val="28"/>
        </w:rPr>
        <w:t xml:space="preserve">Kim W.J., Park C.Y. 1,5-Anhydroglucitol in diabetes mellitus // Endocrine. – 2013. – Vol. 43, №1. – P. 33-40. </w:t>
      </w:r>
    </w:p>
    <w:p w14:paraId="6D59460B" w14:textId="09E4CA84" w:rsidR="00C61303" w:rsidRPr="00785327" w:rsidRDefault="00C61303" w:rsidP="009273A5">
      <w:pPr>
        <w:pStyle w:val="a5"/>
        <w:jc w:val="both"/>
        <w:rPr>
          <w:rFonts w:ascii="Times New Roman" w:hAnsi="Times New Roman" w:cs="Times New Roman"/>
          <w:sz w:val="28"/>
          <w:szCs w:val="28"/>
        </w:rPr>
      </w:pPr>
      <w:r w:rsidRPr="00E31A1E">
        <w:rPr>
          <w:rFonts w:ascii="Times New Roman" w:hAnsi="Times New Roman" w:cs="Times New Roman"/>
          <w:sz w:val="28"/>
          <w:szCs w:val="28"/>
        </w:rPr>
        <w:t xml:space="preserve">13. </w:t>
      </w:r>
      <w:r w:rsidRPr="00E31A1E">
        <w:rPr>
          <w:rFonts w:ascii="Times New Roman" w:eastAsia="Times New Roman" w:hAnsi="Times New Roman" w:cs="Times New Roman"/>
          <w:sz w:val="28"/>
          <w:szCs w:val="28"/>
        </w:rPr>
        <w:t xml:space="preserve">Pieber T.R., Marso S.P., McGuire D.K. et al. </w:t>
      </w:r>
      <w:r w:rsidRPr="00785327">
        <w:rPr>
          <w:rFonts w:ascii="Times New Roman" w:eastAsia="Times New Roman" w:hAnsi="Times New Roman" w:cs="Times New Roman"/>
          <w:sz w:val="28"/>
          <w:szCs w:val="28"/>
        </w:rPr>
        <w:t>DEVOTE 3: Temporal</w:t>
      </w:r>
      <w:r w:rsidR="009273A5"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relationships between severe hypoglycaemia, cardiovascular outcomes and mortality // Diabetologia. – 2018. – Vol. 61. – P. 58–65.</w:t>
      </w:r>
    </w:p>
    <w:p w14:paraId="7013AB6C" w14:textId="7ED4408D" w:rsidR="00615531" w:rsidRDefault="00C61303" w:rsidP="009273A5">
      <w:pPr>
        <w:pStyle w:val="a5"/>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14. </w:t>
      </w:r>
      <w:r w:rsidRPr="00785327">
        <w:rPr>
          <w:rFonts w:ascii="Times New Roman" w:eastAsia="Times New Roman" w:hAnsi="Times New Roman" w:cs="Times New Roman"/>
          <w:sz w:val="28"/>
          <w:szCs w:val="28"/>
        </w:rPr>
        <w:t>Klimontov V</w:t>
      </w:r>
      <w:r w:rsid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V. Impact of glycemic variability on cardiovascular risk in diabetes</w:t>
      </w:r>
      <w:r w:rsidR="0048439F">
        <w:rPr>
          <w:rFonts w:ascii="Times New Roman" w:eastAsia="Times New Roman" w:hAnsi="Times New Roman" w:cs="Times New Roman"/>
          <w:sz w:val="28"/>
          <w:szCs w:val="28"/>
        </w:rPr>
        <w:t xml:space="preserve"> //</w:t>
      </w:r>
      <w:r w:rsidR="0061553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Kardiologiia. </w:t>
      </w:r>
      <w:r w:rsidR="0061553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2018</w:t>
      </w:r>
      <w:r w:rsidR="00615531">
        <w:rPr>
          <w:rFonts w:ascii="Times New Roman" w:eastAsia="Times New Roman" w:hAnsi="Times New Roman" w:cs="Times New Roman"/>
          <w:sz w:val="28"/>
          <w:szCs w:val="28"/>
        </w:rPr>
        <w:t xml:space="preserve">. - </w:t>
      </w:r>
      <w:r w:rsidR="00615531" w:rsidRPr="00615531">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58</w:t>
      </w:r>
      <w:r w:rsidR="00615531" w:rsidRPr="00615531">
        <w:rPr>
          <w:rFonts w:ascii="Times New Roman" w:eastAsia="Times New Roman" w:hAnsi="Times New Roman" w:cs="Times New Roman"/>
          <w:sz w:val="28"/>
          <w:szCs w:val="28"/>
        </w:rPr>
        <w:t xml:space="preserve">. – </w:t>
      </w:r>
      <w:r w:rsidR="00615531">
        <w:rPr>
          <w:rFonts w:ascii="Times New Roman" w:eastAsia="Times New Roman" w:hAnsi="Times New Roman" w:cs="Times New Roman"/>
          <w:sz w:val="28"/>
          <w:szCs w:val="28"/>
        </w:rPr>
        <w:t>Vol.</w:t>
      </w:r>
      <w:r w:rsidRPr="00785327">
        <w:rPr>
          <w:rFonts w:ascii="Times New Roman" w:eastAsia="Times New Roman" w:hAnsi="Times New Roman" w:cs="Times New Roman"/>
          <w:sz w:val="28"/>
          <w:szCs w:val="28"/>
        </w:rPr>
        <w:t>10</w:t>
      </w:r>
      <w:r w:rsidR="00615531">
        <w:rPr>
          <w:rFonts w:ascii="Times New Roman" w:eastAsia="Times New Roman" w:hAnsi="Times New Roman" w:cs="Times New Roman"/>
          <w:sz w:val="28"/>
          <w:szCs w:val="28"/>
        </w:rPr>
        <w:t xml:space="preserve">. P. </w:t>
      </w:r>
      <w:r w:rsidRPr="00785327">
        <w:rPr>
          <w:rFonts w:ascii="Times New Roman" w:eastAsia="Times New Roman" w:hAnsi="Times New Roman" w:cs="Times New Roman"/>
          <w:sz w:val="28"/>
          <w:szCs w:val="28"/>
        </w:rPr>
        <w:t>80-</w:t>
      </w:r>
      <w:r w:rsidR="00615531">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7.</w:t>
      </w:r>
      <w:r w:rsidR="00615531">
        <w:rPr>
          <w:rFonts w:ascii="Times New Roman" w:eastAsia="Times New Roman" w:hAnsi="Times New Roman" w:cs="Times New Roman"/>
          <w:sz w:val="28"/>
          <w:szCs w:val="28"/>
        </w:rPr>
        <w:t xml:space="preserve"> </w:t>
      </w:r>
    </w:p>
    <w:p w14:paraId="14E100F2" w14:textId="66DAB9B8" w:rsidR="00C61303" w:rsidRPr="00615531" w:rsidRDefault="00C61303" w:rsidP="009273A5">
      <w:pPr>
        <w:pStyle w:val="a5"/>
        <w:jc w:val="both"/>
        <w:rPr>
          <w:rFonts w:ascii="Times New Roman" w:eastAsia="Times New Roman" w:hAnsi="Times New Roman" w:cs="Times New Roman"/>
          <w:sz w:val="28"/>
          <w:szCs w:val="28"/>
        </w:rPr>
      </w:pPr>
      <w:r w:rsidRPr="00785327">
        <w:rPr>
          <w:rFonts w:ascii="Times New Roman" w:eastAsia="Times New Roman" w:hAnsi="Times New Roman" w:cs="Times New Roman"/>
          <w:sz w:val="28"/>
          <w:szCs w:val="28"/>
        </w:rPr>
        <w:lastRenderedPageBreak/>
        <w:t xml:space="preserve"> </w:t>
      </w:r>
      <w:hyperlink r:id="rId14">
        <w:r w:rsidRPr="00C47F5D">
          <w:rPr>
            <w:rFonts w:ascii="Times New Roman" w:eastAsia="Times New Roman" w:hAnsi="Times New Roman" w:cs="Times New Roman"/>
            <w:sz w:val="28"/>
            <w:szCs w:val="28"/>
          </w:rPr>
          <w:t>https://doi.org/10.18087/cardio.2018.10.10152</w:t>
        </w:r>
      </w:hyperlink>
    </w:p>
    <w:p w14:paraId="16EDFB97" w14:textId="15251564"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15. </w:t>
      </w:r>
      <w:r w:rsidRPr="00785327">
        <w:rPr>
          <w:rFonts w:ascii="Times New Roman" w:eastAsia="Times New Roman" w:hAnsi="Times New Roman" w:cs="Times New Roman"/>
          <w:sz w:val="28"/>
          <w:szCs w:val="28"/>
        </w:rPr>
        <w:t>Kristensen S</w:t>
      </w:r>
      <w:r w:rsidR="00C47F5D" w:rsidRPr="00C47F5D">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L</w:t>
      </w:r>
      <w:r w:rsidR="00C47F5D" w:rsidRPr="00C47F5D">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Rørth R</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Jhund P</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S</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Docherty K</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F</w:t>
      </w:r>
      <w:r w:rsidR="00C47F5D" w:rsidRPr="00544A6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et al. Cardiovascular, mortality, and kidney outcomes with GLP-1 receptor agonists in patients with Type 2 diabetes: A systematic review and meta-analysis of cardiovascular outcome trials</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Lancet Diabetes Endocrinol.</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2019</w:t>
      </w:r>
      <w:r w:rsidR="001F1E03">
        <w:rPr>
          <w:rFonts w:ascii="Times New Roman" w:eastAsia="Times New Roman" w:hAnsi="Times New Roman" w:cs="Times New Roman"/>
          <w:sz w:val="28"/>
          <w:szCs w:val="28"/>
        </w:rPr>
        <w:t>. -</w:t>
      </w:r>
      <w:r w:rsidR="001F1E03" w:rsidRP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7</w:t>
      </w:r>
      <w:r w:rsidR="001F1E03" w:rsidRPr="001F1E03">
        <w:rPr>
          <w:rFonts w:ascii="Times New Roman" w:eastAsia="Times New Roman" w:hAnsi="Times New Roman" w:cs="Times New Roman"/>
          <w:sz w:val="28"/>
          <w:szCs w:val="28"/>
        </w:rPr>
        <w:t xml:space="preserve">. – </w:t>
      </w:r>
      <w:r w:rsidR="001F1E03">
        <w:rPr>
          <w:rFonts w:ascii="Times New Roman" w:eastAsia="Times New Roman" w:hAnsi="Times New Roman" w:cs="Times New Roman"/>
          <w:sz w:val="28"/>
          <w:szCs w:val="28"/>
        </w:rPr>
        <w:t>Vol.</w:t>
      </w:r>
      <w:r w:rsidRPr="00785327">
        <w:rPr>
          <w:rFonts w:ascii="Times New Roman" w:eastAsia="Times New Roman" w:hAnsi="Times New Roman" w:cs="Times New Roman"/>
          <w:sz w:val="28"/>
          <w:szCs w:val="28"/>
        </w:rPr>
        <w:t>10</w:t>
      </w:r>
      <w:r w:rsidR="001F1E03">
        <w:rPr>
          <w:rFonts w:ascii="Times New Roman" w:eastAsia="Times New Roman" w:hAnsi="Times New Roman" w:cs="Times New Roman"/>
          <w:sz w:val="28"/>
          <w:szCs w:val="28"/>
        </w:rPr>
        <w:t xml:space="preserve">. P. </w:t>
      </w:r>
      <w:r w:rsidRPr="00785327">
        <w:rPr>
          <w:rFonts w:ascii="Times New Roman" w:eastAsia="Times New Roman" w:hAnsi="Times New Roman" w:cs="Times New Roman"/>
          <w:sz w:val="28"/>
          <w:szCs w:val="28"/>
        </w:rPr>
        <w:t>776-</w:t>
      </w:r>
      <w:r w:rsidR="001F1E03">
        <w:rPr>
          <w:rFonts w:ascii="Times New Roman" w:eastAsia="Times New Roman" w:hAnsi="Times New Roman" w:cs="Times New Roman"/>
          <w:sz w:val="28"/>
          <w:szCs w:val="28"/>
        </w:rPr>
        <w:t>7</w:t>
      </w:r>
      <w:r w:rsidRPr="00785327">
        <w:rPr>
          <w:rFonts w:ascii="Times New Roman" w:eastAsia="Times New Roman" w:hAnsi="Times New Roman" w:cs="Times New Roman"/>
          <w:sz w:val="28"/>
          <w:szCs w:val="28"/>
        </w:rPr>
        <w:t xml:space="preserve">85. https://doi.org/10.1016/S2213-8587(19)30249-9 </w:t>
      </w:r>
    </w:p>
    <w:p w14:paraId="7A9EB48F" w14:textId="65D49219" w:rsidR="00C61303" w:rsidRPr="00785327" w:rsidRDefault="00C61303" w:rsidP="00C61303">
      <w:pPr>
        <w:tabs>
          <w:tab w:val="left" w:pos="284"/>
        </w:tabs>
        <w:spacing w:after="0" w:line="240" w:lineRule="auto"/>
        <w:jc w:val="both"/>
        <w:rPr>
          <w:rFonts w:ascii="Times New Roman" w:eastAsia="Times New Roman" w:hAnsi="Times New Roman" w:cs="Times New Roman"/>
          <w:b/>
          <w:bCs/>
          <w:sz w:val="28"/>
          <w:szCs w:val="28"/>
        </w:rPr>
      </w:pPr>
      <w:r w:rsidRPr="00785327">
        <w:rPr>
          <w:rFonts w:ascii="Times New Roman" w:hAnsi="Times New Roman" w:cs="Times New Roman"/>
          <w:sz w:val="28"/>
          <w:szCs w:val="28"/>
        </w:rPr>
        <w:t xml:space="preserve">16. </w:t>
      </w:r>
      <w:r w:rsidRPr="00785327">
        <w:rPr>
          <w:rFonts w:ascii="Times New Roman" w:eastAsia="Times New Roman" w:hAnsi="Times New Roman" w:cs="Times New Roman"/>
          <w:sz w:val="28"/>
          <w:szCs w:val="28"/>
        </w:rPr>
        <w:t>De Wit-Verheggen VHW, van de Weijer T. Changes in cardiac metabolism in prediabetes</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Biomolecules.</w:t>
      </w:r>
      <w:r w:rsidR="001F1E03">
        <w:rPr>
          <w:rFonts w:ascii="Times New Roman" w:eastAsia="Times New Roman" w:hAnsi="Times New Roman" w:cs="Times New Roman"/>
          <w:sz w:val="28"/>
          <w:szCs w:val="28"/>
        </w:rPr>
        <w:t xml:space="preserve"> –</w:t>
      </w:r>
      <w:r w:rsidR="001F1E03" w:rsidRP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2021</w:t>
      </w:r>
      <w:r w:rsidR="001F1E03">
        <w:rPr>
          <w:rFonts w:ascii="Times New Roman" w:eastAsia="Times New Roman" w:hAnsi="Times New Roman" w:cs="Times New Roman"/>
          <w:sz w:val="28"/>
          <w:szCs w:val="28"/>
        </w:rPr>
        <w:t>.</w:t>
      </w:r>
      <w:r w:rsidR="001F1E03" w:rsidRP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11</w:t>
      </w:r>
      <w:r w:rsidR="001F1E03" w:rsidRPr="001F1E03">
        <w:rPr>
          <w:rFonts w:ascii="Times New Roman" w:eastAsia="Times New Roman" w:hAnsi="Times New Roman" w:cs="Times New Roman"/>
          <w:sz w:val="28"/>
          <w:szCs w:val="28"/>
        </w:rPr>
        <w:t xml:space="preserve">. </w:t>
      </w:r>
      <w:r w:rsidR="001F1E03">
        <w:rPr>
          <w:rFonts w:ascii="Times New Roman" w:eastAsia="Times New Roman" w:hAnsi="Times New Roman" w:cs="Times New Roman"/>
          <w:sz w:val="28"/>
          <w:szCs w:val="28"/>
        </w:rPr>
        <w:t xml:space="preserve">Vol. </w:t>
      </w:r>
      <w:r w:rsidRPr="00785327">
        <w:rPr>
          <w:rFonts w:ascii="Times New Roman" w:eastAsia="Times New Roman" w:hAnsi="Times New Roman" w:cs="Times New Roman"/>
          <w:sz w:val="28"/>
          <w:szCs w:val="28"/>
        </w:rPr>
        <w:t>11</w:t>
      </w:r>
      <w:r w:rsidR="001F1E03">
        <w:rPr>
          <w:rFonts w:ascii="Times New Roman" w:eastAsia="Times New Roman" w:hAnsi="Times New Roman" w:cs="Times New Roman"/>
          <w:sz w:val="28"/>
          <w:szCs w:val="28"/>
        </w:rPr>
        <w:t>. – P 1-14</w:t>
      </w:r>
      <w:r w:rsidRPr="00785327">
        <w:rPr>
          <w:rFonts w:ascii="Times New Roman" w:eastAsia="Times New Roman" w:hAnsi="Times New Roman" w:cs="Times New Roman"/>
          <w:sz w:val="28"/>
          <w:szCs w:val="28"/>
        </w:rPr>
        <w:t>. https://doi.org/10.3390/biom11111680</w:t>
      </w:r>
      <w:r w:rsid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w:t>
      </w:r>
    </w:p>
    <w:sectPr w:rsidR="00C61303" w:rsidRPr="00785327" w:rsidSect="006508EE">
      <w:endnotePr>
        <w:numFmt w:val="decimal"/>
      </w:endnotePr>
      <w:pgSz w:w="11906" w:h="16838"/>
      <w:pgMar w:top="1134" w:right="850"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16F8" w14:textId="77777777" w:rsidR="000F1F5E" w:rsidRDefault="000F1F5E" w:rsidP="00861C18">
      <w:pPr>
        <w:spacing w:after="0" w:line="240" w:lineRule="auto"/>
      </w:pPr>
      <w:r>
        <w:separator/>
      </w:r>
    </w:p>
  </w:endnote>
  <w:endnote w:type="continuationSeparator" w:id="0">
    <w:p w14:paraId="3C1B2F34" w14:textId="77777777" w:rsidR="000F1F5E" w:rsidRDefault="000F1F5E" w:rsidP="0086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AE07" w14:textId="77777777" w:rsidR="000F1F5E" w:rsidRDefault="000F1F5E" w:rsidP="00861C18">
      <w:pPr>
        <w:spacing w:after="0" w:line="240" w:lineRule="auto"/>
      </w:pPr>
      <w:r>
        <w:separator/>
      </w:r>
    </w:p>
  </w:footnote>
  <w:footnote w:type="continuationSeparator" w:id="0">
    <w:p w14:paraId="1CECAC21" w14:textId="77777777" w:rsidR="000F1F5E" w:rsidRDefault="000F1F5E" w:rsidP="00861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11D"/>
    <w:multiLevelType w:val="multilevel"/>
    <w:tmpl w:val="09346FB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46C06"/>
    <w:multiLevelType w:val="hybridMultilevel"/>
    <w:tmpl w:val="F188A378"/>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2" w15:restartNumberingAfterBreak="0">
    <w:nsid w:val="083043C2"/>
    <w:multiLevelType w:val="hybridMultilevel"/>
    <w:tmpl w:val="66BCC3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86207"/>
    <w:multiLevelType w:val="hybridMultilevel"/>
    <w:tmpl w:val="01DA8662"/>
    <w:lvl w:ilvl="0" w:tplc="5030B3C0">
      <w:start w:val="1"/>
      <w:numFmt w:val="decimal"/>
      <w:lvlText w:val="%1."/>
      <w:lvlJc w:val="left"/>
      <w:pPr>
        <w:ind w:left="1637" w:hanging="360"/>
      </w:pPr>
      <w:rPr>
        <w:rFonts w:hint="default"/>
      </w:rPr>
    </w:lvl>
    <w:lvl w:ilvl="1" w:tplc="043F0019" w:tentative="1">
      <w:start w:val="1"/>
      <w:numFmt w:val="lowerLetter"/>
      <w:lvlText w:val="%2."/>
      <w:lvlJc w:val="left"/>
      <w:pPr>
        <w:ind w:left="2291" w:hanging="360"/>
      </w:pPr>
    </w:lvl>
    <w:lvl w:ilvl="2" w:tplc="043F001B" w:tentative="1">
      <w:start w:val="1"/>
      <w:numFmt w:val="lowerRoman"/>
      <w:lvlText w:val="%3."/>
      <w:lvlJc w:val="right"/>
      <w:pPr>
        <w:ind w:left="3011" w:hanging="180"/>
      </w:pPr>
    </w:lvl>
    <w:lvl w:ilvl="3" w:tplc="043F000F" w:tentative="1">
      <w:start w:val="1"/>
      <w:numFmt w:val="decimal"/>
      <w:lvlText w:val="%4."/>
      <w:lvlJc w:val="left"/>
      <w:pPr>
        <w:ind w:left="3731" w:hanging="360"/>
      </w:pPr>
    </w:lvl>
    <w:lvl w:ilvl="4" w:tplc="043F0019" w:tentative="1">
      <w:start w:val="1"/>
      <w:numFmt w:val="lowerLetter"/>
      <w:lvlText w:val="%5."/>
      <w:lvlJc w:val="left"/>
      <w:pPr>
        <w:ind w:left="4451" w:hanging="360"/>
      </w:pPr>
    </w:lvl>
    <w:lvl w:ilvl="5" w:tplc="043F001B" w:tentative="1">
      <w:start w:val="1"/>
      <w:numFmt w:val="lowerRoman"/>
      <w:lvlText w:val="%6."/>
      <w:lvlJc w:val="right"/>
      <w:pPr>
        <w:ind w:left="5171" w:hanging="180"/>
      </w:pPr>
    </w:lvl>
    <w:lvl w:ilvl="6" w:tplc="043F000F" w:tentative="1">
      <w:start w:val="1"/>
      <w:numFmt w:val="decimal"/>
      <w:lvlText w:val="%7."/>
      <w:lvlJc w:val="left"/>
      <w:pPr>
        <w:ind w:left="5891" w:hanging="360"/>
      </w:pPr>
    </w:lvl>
    <w:lvl w:ilvl="7" w:tplc="043F0019" w:tentative="1">
      <w:start w:val="1"/>
      <w:numFmt w:val="lowerLetter"/>
      <w:lvlText w:val="%8."/>
      <w:lvlJc w:val="left"/>
      <w:pPr>
        <w:ind w:left="6611" w:hanging="360"/>
      </w:pPr>
    </w:lvl>
    <w:lvl w:ilvl="8" w:tplc="043F001B" w:tentative="1">
      <w:start w:val="1"/>
      <w:numFmt w:val="lowerRoman"/>
      <w:lvlText w:val="%9."/>
      <w:lvlJc w:val="right"/>
      <w:pPr>
        <w:ind w:left="7331" w:hanging="180"/>
      </w:pPr>
    </w:lvl>
  </w:abstractNum>
  <w:abstractNum w:abstractNumId="4" w15:restartNumberingAfterBreak="0">
    <w:nsid w:val="26972D64"/>
    <w:multiLevelType w:val="multilevel"/>
    <w:tmpl w:val="19BA6EEE"/>
    <w:lvl w:ilvl="0">
      <w:start w:val="1"/>
      <w:numFmt w:val="decimal"/>
      <w:lvlText w:val="%1."/>
      <w:lvlJc w:val="left"/>
      <w:pPr>
        <w:ind w:left="720" w:hanging="360"/>
      </w:pPr>
    </w:lvl>
    <w:lvl w:ilvl="1">
      <w:start w:val="4"/>
      <w:numFmt w:val="decimal"/>
      <w:lvlText w:val="%1.%2"/>
      <w:lvlJc w:val="left"/>
      <w:pPr>
        <w:ind w:left="1140" w:hanging="780"/>
      </w:pPr>
    </w:lvl>
    <w:lvl w:ilvl="2">
      <w:start w:val="4"/>
      <w:numFmt w:val="decimal"/>
      <w:lvlText w:val="%1.%2.%3"/>
      <w:lvlJc w:val="left"/>
      <w:pPr>
        <w:ind w:left="1140" w:hanging="78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69E3782A"/>
    <w:multiLevelType w:val="hybridMultilevel"/>
    <w:tmpl w:val="5B7E4324"/>
    <w:lvl w:ilvl="0" w:tplc="5030B3C0">
      <w:start w:val="1"/>
      <w:numFmt w:val="decimal"/>
      <w:lvlText w:val="%1."/>
      <w:lvlJc w:val="left"/>
      <w:pPr>
        <w:ind w:left="1212" w:hanging="360"/>
      </w:pPr>
      <w:rPr>
        <w:rFonts w:hint="default"/>
      </w:rPr>
    </w:lvl>
    <w:lvl w:ilvl="1" w:tplc="043F0019" w:tentative="1">
      <w:start w:val="1"/>
      <w:numFmt w:val="lowerLetter"/>
      <w:lvlText w:val="%2."/>
      <w:lvlJc w:val="left"/>
      <w:pPr>
        <w:ind w:left="1866" w:hanging="360"/>
      </w:pPr>
    </w:lvl>
    <w:lvl w:ilvl="2" w:tplc="043F001B" w:tentative="1">
      <w:start w:val="1"/>
      <w:numFmt w:val="lowerRoman"/>
      <w:lvlText w:val="%3."/>
      <w:lvlJc w:val="right"/>
      <w:pPr>
        <w:ind w:left="2586" w:hanging="180"/>
      </w:pPr>
    </w:lvl>
    <w:lvl w:ilvl="3" w:tplc="043F000F" w:tentative="1">
      <w:start w:val="1"/>
      <w:numFmt w:val="decimal"/>
      <w:lvlText w:val="%4."/>
      <w:lvlJc w:val="left"/>
      <w:pPr>
        <w:ind w:left="3306" w:hanging="360"/>
      </w:pPr>
    </w:lvl>
    <w:lvl w:ilvl="4" w:tplc="043F0019" w:tentative="1">
      <w:start w:val="1"/>
      <w:numFmt w:val="lowerLetter"/>
      <w:lvlText w:val="%5."/>
      <w:lvlJc w:val="left"/>
      <w:pPr>
        <w:ind w:left="4026" w:hanging="360"/>
      </w:pPr>
    </w:lvl>
    <w:lvl w:ilvl="5" w:tplc="043F001B" w:tentative="1">
      <w:start w:val="1"/>
      <w:numFmt w:val="lowerRoman"/>
      <w:lvlText w:val="%6."/>
      <w:lvlJc w:val="right"/>
      <w:pPr>
        <w:ind w:left="4746" w:hanging="180"/>
      </w:pPr>
    </w:lvl>
    <w:lvl w:ilvl="6" w:tplc="043F000F" w:tentative="1">
      <w:start w:val="1"/>
      <w:numFmt w:val="decimal"/>
      <w:lvlText w:val="%7."/>
      <w:lvlJc w:val="left"/>
      <w:pPr>
        <w:ind w:left="5466" w:hanging="360"/>
      </w:pPr>
    </w:lvl>
    <w:lvl w:ilvl="7" w:tplc="043F0019" w:tentative="1">
      <w:start w:val="1"/>
      <w:numFmt w:val="lowerLetter"/>
      <w:lvlText w:val="%8."/>
      <w:lvlJc w:val="left"/>
      <w:pPr>
        <w:ind w:left="6186" w:hanging="360"/>
      </w:pPr>
    </w:lvl>
    <w:lvl w:ilvl="8" w:tplc="043F001B" w:tentative="1">
      <w:start w:val="1"/>
      <w:numFmt w:val="lowerRoman"/>
      <w:lvlText w:val="%9."/>
      <w:lvlJc w:val="right"/>
      <w:pPr>
        <w:ind w:left="6906" w:hanging="180"/>
      </w:pPr>
    </w:lvl>
  </w:abstractNum>
  <w:abstractNum w:abstractNumId="6" w15:restartNumberingAfterBreak="0">
    <w:nsid w:val="75B5778E"/>
    <w:multiLevelType w:val="hybridMultilevel"/>
    <w:tmpl w:val="647C5298"/>
    <w:lvl w:ilvl="0" w:tplc="5030B3C0">
      <w:start w:val="1"/>
      <w:numFmt w:val="decimal"/>
      <w:lvlText w:val="%1."/>
      <w:lvlJc w:val="left"/>
      <w:pPr>
        <w:ind w:left="786" w:hanging="360"/>
      </w:pPr>
      <w:rPr>
        <w:rFonts w:hint="default"/>
      </w:rPr>
    </w:lvl>
    <w:lvl w:ilvl="1" w:tplc="043F0019" w:tentative="1">
      <w:start w:val="1"/>
      <w:numFmt w:val="lowerLetter"/>
      <w:lvlText w:val="%2."/>
      <w:lvlJc w:val="left"/>
      <w:pPr>
        <w:ind w:left="1506" w:hanging="360"/>
      </w:pPr>
    </w:lvl>
    <w:lvl w:ilvl="2" w:tplc="043F001B" w:tentative="1">
      <w:start w:val="1"/>
      <w:numFmt w:val="lowerRoman"/>
      <w:lvlText w:val="%3."/>
      <w:lvlJc w:val="right"/>
      <w:pPr>
        <w:ind w:left="2226" w:hanging="180"/>
      </w:pPr>
    </w:lvl>
    <w:lvl w:ilvl="3" w:tplc="043F000F" w:tentative="1">
      <w:start w:val="1"/>
      <w:numFmt w:val="decimal"/>
      <w:lvlText w:val="%4."/>
      <w:lvlJc w:val="left"/>
      <w:pPr>
        <w:ind w:left="2946" w:hanging="360"/>
      </w:pPr>
    </w:lvl>
    <w:lvl w:ilvl="4" w:tplc="043F0019" w:tentative="1">
      <w:start w:val="1"/>
      <w:numFmt w:val="lowerLetter"/>
      <w:lvlText w:val="%5."/>
      <w:lvlJc w:val="left"/>
      <w:pPr>
        <w:ind w:left="3666" w:hanging="360"/>
      </w:pPr>
    </w:lvl>
    <w:lvl w:ilvl="5" w:tplc="043F001B" w:tentative="1">
      <w:start w:val="1"/>
      <w:numFmt w:val="lowerRoman"/>
      <w:lvlText w:val="%6."/>
      <w:lvlJc w:val="right"/>
      <w:pPr>
        <w:ind w:left="4386" w:hanging="180"/>
      </w:pPr>
    </w:lvl>
    <w:lvl w:ilvl="6" w:tplc="043F000F" w:tentative="1">
      <w:start w:val="1"/>
      <w:numFmt w:val="decimal"/>
      <w:lvlText w:val="%7."/>
      <w:lvlJc w:val="left"/>
      <w:pPr>
        <w:ind w:left="5106" w:hanging="360"/>
      </w:pPr>
    </w:lvl>
    <w:lvl w:ilvl="7" w:tplc="043F0019" w:tentative="1">
      <w:start w:val="1"/>
      <w:numFmt w:val="lowerLetter"/>
      <w:lvlText w:val="%8."/>
      <w:lvlJc w:val="left"/>
      <w:pPr>
        <w:ind w:left="5826" w:hanging="360"/>
      </w:pPr>
    </w:lvl>
    <w:lvl w:ilvl="8" w:tplc="043F001B" w:tentative="1">
      <w:start w:val="1"/>
      <w:numFmt w:val="lowerRoman"/>
      <w:lvlText w:val="%9."/>
      <w:lvlJc w:val="right"/>
      <w:pPr>
        <w:ind w:left="6546" w:hanging="180"/>
      </w:pPr>
    </w:lvl>
  </w:abstractNum>
  <w:abstractNum w:abstractNumId="7" w15:restartNumberingAfterBreak="0">
    <w:nsid w:val="76363829"/>
    <w:multiLevelType w:val="hybridMultilevel"/>
    <w:tmpl w:val="DADE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20409">
    <w:abstractNumId w:val="0"/>
  </w:num>
  <w:num w:numId="2" w16cid:durableId="157042552">
    <w:abstractNumId w:val="7"/>
  </w:num>
  <w:num w:numId="3" w16cid:durableId="1051806159">
    <w:abstractNumId w:val="2"/>
  </w:num>
  <w:num w:numId="4" w16cid:durableId="1832213367">
    <w:abstractNumId w:val="4"/>
  </w:num>
  <w:num w:numId="5" w16cid:durableId="1957524311">
    <w:abstractNumId w:val="1"/>
  </w:num>
  <w:num w:numId="6" w16cid:durableId="702049134">
    <w:abstractNumId w:val="6"/>
  </w:num>
  <w:num w:numId="7" w16cid:durableId="1790973161">
    <w:abstractNumId w:val="5"/>
  </w:num>
  <w:num w:numId="8" w16cid:durableId="176471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4B"/>
    <w:rsid w:val="000106D8"/>
    <w:rsid w:val="00022A0A"/>
    <w:rsid w:val="000265A3"/>
    <w:rsid w:val="0004208C"/>
    <w:rsid w:val="000529D6"/>
    <w:rsid w:val="000D27B1"/>
    <w:rsid w:val="000E3155"/>
    <w:rsid w:val="000F1F5E"/>
    <w:rsid w:val="000F4EFE"/>
    <w:rsid w:val="000F7E3B"/>
    <w:rsid w:val="00116D3D"/>
    <w:rsid w:val="001346DA"/>
    <w:rsid w:val="001400CF"/>
    <w:rsid w:val="00151F05"/>
    <w:rsid w:val="001675CD"/>
    <w:rsid w:val="00176FD9"/>
    <w:rsid w:val="00182072"/>
    <w:rsid w:val="0018258F"/>
    <w:rsid w:val="0018675C"/>
    <w:rsid w:val="001B2F09"/>
    <w:rsid w:val="001B7FA6"/>
    <w:rsid w:val="001C11C8"/>
    <w:rsid w:val="001C6C42"/>
    <w:rsid w:val="001D07EE"/>
    <w:rsid w:val="001F1E03"/>
    <w:rsid w:val="00221FBF"/>
    <w:rsid w:val="00232449"/>
    <w:rsid w:val="002823AA"/>
    <w:rsid w:val="00295238"/>
    <w:rsid w:val="0029649A"/>
    <w:rsid w:val="0029795D"/>
    <w:rsid w:val="002A123A"/>
    <w:rsid w:val="002B3DC9"/>
    <w:rsid w:val="002D3216"/>
    <w:rsid w:val="002F5402"/>
    <w:rsid w:val="00316FCE"/>
    <w:rsid w:val="0032493D"/>
    <w:rsid w:val="00324D44"/>
    <w:rsid w:val="0032732D"/>
    <w:rsid w:val="00342709"/>
    <w:rsid w:val="00343742"/>
    <w:rsid w:val="00357BE7"/>
    <w:rsid w:val="00376B9D"/>
    <w:rsid w:val="00395555"/>
    <w:rsid w:val="003A4726"/>
    <w:rsid w:val="003A6F72"/>
    <w:rsid w:val="003B0964"/>
    <w:rsid w:val="003B2EE0"/>
    <w:rsid w:val="003E7E31"/>
    <w:rsid w:val="004062DA"/>
    <w:rsid w:val="00436558"/>
    <w:rsid w:val="00437077"/>
    <w:rsid w:val="00440FF2"/>
    <w:rsid w:val="0047419A"/>
    <w:rsid w:val="00477632"/>
    <w:rsid w:val="004816E4"/>
    <w:rsid w:val="00481FA3"/>
    <w:rsid w:val="00482B2E"/>
    <w:rsid w:val="0048439F"/>
    <w:rsid w:val="004B6CDB"/>
    <w:rsid w:val="004C484B"/>
    <w:rsid w:val="004D240D"/>
    <w:rsid w:val="004D47DA"/>
    <w:rsid w:val="004D501C"/>
    <w:rsid w:val="004F117D"/>
    <w:rsid w:val="004F2381"/>
    <w:rsid w:val="005017A0"/>
    <w:rsid w:val="00504204"/>
    <w:rsid w:val="00506045"/>
    <w:rsid w:val="00522A0D"/>
    <w:rsid w:val="00536EE7"/>
    <w:rsid w:val="0054157F"/>
    <w:rsid w:val="00544A63"/>
    <w:rsid w:val="00561D18"/>
    <w:rsid w:val="00561DBF"/>
    <w:rsid w:val="005734F3"/>
    <w:rsid w:val="005A68C5"/>
    <w:rsid w:val="005A6977"/>
    <w:rsid w:val="005C7334"/>
    <w:rsid w:val="005D3267"/>
    <w:rsid w:val="005F528C"/>
    <w:rsid w:val="00615531"/>
    <w:rsid w:val="006159D2"/>
    <w:rsid w:val="0062138A"/>
    <w:rsid w:val="00635ACD"/>
    <w:rsid w:val="006508EE"/>
    <w:rsid w:val="00660772"/>
    <w:rsid w:val="00670894"/>
    <w:rsid w:val="00682EA8"/>
    <w:rsid w:val="006B03A0"/>
    <w:rsid w:val="006B34D2"/>
    <w:rsid w:val="006B569F"/>
    <w:rsid w:val="006D5D1F"/>
    <w:rsid w:val="006E0164"/>
    <w:rsid w:val="006E461B"/>
    <w:rsid w:val="006F3D86"/>
    <w:rsid w:val="006F49C5"/>
    <w:rsid w:val="00706066"/>
    <w:rsid w:val="0071086D"/>
    <w:rsid w:val="00744A96"/>
    <w:rsid w:val="00745410"/>
    <w:rsid w:val="007532D5"/>
    <w:rsid w:val="007549B5"/>
    <w:rsid w:val="00755D70"/>
    <w:rsid w:val="00764D66"/>
    <w:rsid w:val="00775747"/>
    <w:rsid w:val="00783495"/>
    <w:rsid w:val="00785327"/>
    <w:rsid w:val="00790AA2"/>
    <w:rsid w:val="00790F28"/>
    <w:rsid w:val="007917C7"/>
    <w:rsid w:val="00796860"/>
    <w:rsid w:val="007E415E"/>
    <w:rsid w:val="007E4AAB"/>
    <w:rsid w:val="0082443C"/>
    <w:rsid w:val="008255DE"/>
    <w:rsid w:val="00825714"/>
    <w:rsid w:val="00833F6C"/>
    <w:rsid w:val="00835F4D"/>
    <w:rsid w:val="00845C19"/>
    <w:rsid w:val="00851EE9"/>
    <w:rsid w:val="00861C18"/>
    <w:rsid w:val="00876702"/>
    <w:rsid w:val="008855AA"/>
    <w:rsid w:val="008B2899"/>
    <w:rsid w:val="008E690D"/>
    <w:rsid w:val="008F0332"/>
    <w:rsid w:val="008F0715"/>
    <w:rsid w:val="008F7B66"/>
    <w:rsid w:val="009273A5"/>
    <w:rsid w:val="00933995"/>
    <w:rsid w:val="00937A24"/>
    <w:rsid w:val="00966AC8"/>
    <w:rsid w:val="009767B1"/>
    <w:rsid w:val="009814E9"/>
    <w:rsid w:val="009A3A0E"/>
    <w:rsid w:val="009D1716"/>
    <w:rsid w:val="009D6634"/>
    <w:rsid w:val="009E514D"/>
    <w:rsid w:val="00A05AAC"/>
    <w:rsid w:val="00A165F4"/>
    <w:rsid w:val="00A4164F"/>
    <w:rsid w:val="00A4233A"/>
    <w:rsid w:val="00A65505"/>
    <w:rsid w:val="00A67204"/>
    <w:rsid w:val="00A67BD7"/>
    <w:rsid w:val="00AF3D60"/>
    <w:rsid w:val="00B03F63"/>
    <w:rsid w:val="00B270B9"/>
    <w:rsid w:val="00B555CB"/>
    <w:rsid w:val="00B64102"/>
    <w:rsid w:val="00B82EC7"/>
    <w:rsid w:val="00BA2F63"/>
    <w:rsid w:val="00BB1403"/>
    <w:rsid w:val="00BC45FD"/>
    <w:rsid w:val="00BF0ECF"/>
    <w:rsid w:val="00BF1FD4"/>
    <w:rsid w:val="00C0283F"/>
    <w:rsid w:val="00C154CC"/>
    <w:rsid w:val="00C27D81"/>
    <w:rsid w:val="00C36838"/>
    <w:rsid w:val="00C40235"/>
    <w:rsid w:val="00C479EC"/>
    <w:rsid w:val="00C47F5D"/>
    <w:rsid w:val="00C61303"/>
    <w:rsid w:val="00C71F89"/>
    <w:rsid w:val="00CB6227"/>
    <w:rsid w:val="00CD283E"/>
    <w:rsid w:val="00CD3378"/>
    <w:rsid w:val="00CE1A60"/>
    <w:rsid w:val="00CE7998"/>
    <w:rsid w:val="00D04B8D"/>
    <w:rsid w:val="00D145A7"/>
    <w:rsid w:val="00D16ABB"/>
    <w:rsid w:val="00D3321C"/>
    <w:rsid w:val="00D44F9D"/>
    <w:rsid w:val="00D518C9"/>
    <w:rsid w:val="00D63540"/>
    <w:rsid w:val="00D6483D"/>
    <w:rsid w:val="00D67770"/>
    <w:rsid w:val="00D86989"/>
    <w:rsid w:val="00D91367"/>
    <w:rsid w:val="00DB7D47"/>
    <w:rsid w:val="00DD7B9C"/>
    <w:rsid w:val="00DF067A"/>
    <w:rsid w:val="00DF7C7E"/>
    <w:rsid w:val="00E07938"/>
    <w:rsid w:val="00E12294"/>
    <w:rsid w:val="00E15689"/>
    <w:rsid w:val="00E15ACB"/>
    <w:rsid w:val="00E171E1"/>
    <w:rsid w:val="00E2520D"/>
    <w:rsid w:val="00E31A1E"/>
    <w:rsid w:val="00E53FB7"/>
    <w:rsid w:val="00E60777"/>
    <w:rsid w:val="00E63B33"/>
    <w:rsid w:val="00E700A0"/>
    <w:rsid w:val="00E75328"/>
    <w:rsid w:val="00E83BE4"/>
    <w:rsid w:val="00E850E1"/>
    <w:rsid w:val="00EF10E2"/>
    <w:rsid w:val="00EF44DF"/>
    <w:rsid w:val="00F47884"/>
    <w:rsid w:val="00F621B7"/>
    <w:rsid w:val="00F62C5A"/>
    <w:rsid w:val="00F63C68"/>
    <w:rsid w:val="00F9020D"/>
    <w:rsid w:val="00FB0503"/>
    <w:rsid w:val="00FB162C"/>
    <w:rsid w:val="00FB638B"/>
    <w:rsid w:val="00FC54ED"/>
    <w:rsid w:val="00FD5404"/>
    <w:rsid w:val="00FE5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4F9C"/>
  <w15:docId w15:val="{4D35EF88-C8A6-4B26-B2FC-B2ECE312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32F"/>
    <w:rPr>
      <w:lang w:val="en-US"/>
    </w:rPr>
  </w:style>
  <w:style w:type="paragraph" w:styleId="1">
    <w:name w:val="heading 1"/>
    <w:basedOn w:val="a"/>
    <w:next w:val="a"/>
    <w:uiPriority w:val="9"/>
    <w:qFormat/>
    <w:pPr>
      <w:keepNext/>
      <w:keepLines/>
      <w:spacing w:before="480" w:after="120"/>
      <w:outlineLvl w:val="0"/>
    </w:pPr>
    <w:rPr>
      <w:b/>
      <w:sz w:val="48"/>
      <w:szCs w:val="48"/>
    </w:rPr>
  </w:style>
  <w:style w:type="paragraph" w:styleId="20">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19432F"/>
    <w:rPr>
      <w:color w:val="0000FF"/>
      <w:u w:val="single"/>
    </w:rPr>
  </w:style>
  <w:style w:type="paragraph" w:styleId="a5">
    <w:name w:val="endnote text"/>
    <w:basedOn w:val="a"/>
    <w:link w:val="a6"/>
    <w:uiPriority w:val="99"/>
    <w:unhideWhenUsed/>
    <w:rsid w:val="0019432F"/>
    <w:pPr>
      <w:spacing w:after="0" w:line="240" w:lineRule="auto"/>
    </w:pPr>
    <w:rPr>
      <w:sz w:val="20"/>
      <w:szCs w:val="20"/>
    </w:rPr>
  </w:style>
  <w:style w:type="character" w:customStyle="1" w:styleId="a6">
    <w:name w:val="Текст концевой сноски Знак"/>
    <w:basedOn w:val="a0"/>
    <w:link w:val="a5"/>
    <w:uiPriority w:val="99"/>
    <w:rsid w:val="0019432F"/>
    <w:rPr>
      <w:rFonts w:ascii="Calibri" w:eastAsia="Calibri" w:hAnsi="Calibri" w:cs="Calibri"/>
      <w:sz w:val="20"/>
      <w:szCs w:val="20"/>
      <w:lang w:val="en-US" w:eastAsia="kk-KZ"/>
    </w:rPr>
  </w:style>
  <w:style w:type="character" w:styleId="a7">
    <w:name w:val="endnote reference"/>
    <w:basedOn w:val="a0"/>
    <w:uiPriority w:val="99"/>
    <w:semiHidden/>
    <w:unhideWhenUsed/>
    <w:rsid w:val="0019432F"/>
    <w:rPr>
      <w:vertAlign w:val="superscript"/>
    </w:rPr>
  </w:style>
  <w:style w:type="paragraph" w:styleId="2">
    <w:name w:val="List Number 2"/>
    <w:basedOn w:val="a"/>
    <w:uiPriority w:val="99"/>
    <w:unhideWhenUsed/>
    <w:rsid w:val="0019432F"/>
    <w:pPr>
      <w:numPr>
        <w:numId w:val="1"/>
      </w:numPr>
      <w:contextualSpacing/>
    </w:pPr>
  </w:style>
  <w:style w:type="paragraph" w:styleId="a8">
    <w:name w:val="List Paragraph"/>
    <w:basedOn w:val="a"/>
    <w:uiPriority w:val="34"/>
    <w:qFormat/>
    <w:rsid w:val="00751367"/>
    <w:pPr>
      <w:ind w:left="720"/>
      <w:contextualSpacing/>
    </w:pPr>
  </w:style>
  <w:style w:type="character" w:customStyle="1" w:styleId="10">
    <w:name w:val="Неразрешенное упоминание1"/>
    <w:basedOn w:val="a0"/>
    <w:uiPriority w:val="99"/>
    <w:semiHidden/>
    <w:unhideWhenUsed/>
    <w:rsid w:val="00751367"/>
    <w:rPr>
      <w:color w:val="605E5C"/>
      <w:shd w:val="clear" w:color="auto" w:fill="E1DFDD"/>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16">
    <w:name w:val="16"/>
    <w:basedOn w:val="TableNormal0"/>
    <w:rsid w:val="004D501C"/>
    <w:pPr>
      <w:spacing w:after="0" w:line="240" w:lineRule="auto"/>
    </w:pPr>
    <w:rPr>
      <w:lang w:eastAsia="kk-KZ"/>
    </w:rPr>
    <w:tblPr>
      <w:tblStyleRowBandSize w:val="1"/>
      <w:tblStyleColBandSize w:val="1"/>
      <w:tblCellMar>
        <w:left w:w="108" w:type="dxa"/>
        <w:right w:w="108" w:type="dxa"/>
      </w:tblCellMar>
    </w:tblPr>
  </w:style>
  <w:style w:type="paragraph" w:styleId="aa">
    <w:name w:val="No Spacing"/>
    <w:link w:val="ab"/>
    <w:uiPriority w:val="1"/>
    <w:qFormat/>
    <w:rsid w:val="00E15689"/>
    <w:pPr>
      <w:spacing w:after="0" w:line="240" w:lineRule="auto"/>
    </w:pPr>
    <w:rPr>
      <w:rFonts w:cs="Times New Roman"/>
      <w:sz w:val="20"/>
      <w:szCs w:val="20"/>
    </w:rPr>
  </w:style>
  <w:style w:type="character" w:customStyle="1" w:styleId="ab">
    <w:name w:val="Без интервала Знак"/>
    <w:basedOn w:val="a0"/>
    <w:link w:val="aa"/>
    <w:uiPriority w:val="1"/>
    <w:locked/>
    <w:rsid w:val="00E15689"/>
    <w:rPr>
      <w:rFonts w:cs="Times New Roman"/>
      <w:sz w:val="20"/>
      <w:szCs w:val="20"/>
    </w:rPr>
  </w:style>
  <w:style w:type="paragraph" w:styleId="ac">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d"/>
    <w:uiPriority w:val="99"/>
    <w:rsid w:val="00670894"/>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d">
    <w:name w:val="Обычный (Интернет)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c"/>
    <w:uiPriority w:val="99"/>
    <w:locked/>
    <w:rsid w:val="00670894"/>
    <w:rPr>
      <w:rFonts w:ascii="Times New Roman" w:eastAsia="Times New Roman" w:hAnsi="Times New Roman" w:cs="Times New Roman"/>
      <w:sz w:val="24"/>
      <w:szCs w:val="24"/>
      <w:lang w:eastAsia="ar-SA"/>
    </w:rPr>
  </w:style>
  <w:style w:type="character" w:customStyle="1" w:styleId="21">
    <w:name w:val="Неразрешенное упоминание2"/>
    <w:basedOn w:val="a0"/>
    <w:uiPriority w:val="99"/>
    <w:semiHidden/>
    <w:unhideWhenUsed/>
    <w:rsid w:val="00A65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8729">
      <w:bodyDiv w:val="1"/>
      <w:marLeft w:val="0"/>
      <w:marRight w:val="0"/>
      <w:marTop w:val="0"/>
      <w:marBottom w:val="0"/>
      <w:divBdr>
        <w:top w:val="none" w:sz="0" w:space="0" w:color="auto"/>
        <w:left w:val="none" w:sz="0" w:space="0" w:color="auto"/>
        <w:bottom w:val="none" w:sz="0" w:space="0" w:color="auto"/>
        <w:right w:val="none" w:sz="0" w:space="0" w:color="auto"/>
      </w:divBdr>
    </w:div>
    <w:div w:id="207225968">
      <w:bodyDiv w:val="1"/>
      <w:marLeft w:val="0"/>
      <w:marRight w:val="0"/>
      <w:marTop w:val="0"/>
      <w:marBottom w:val="0"/>
      <w:divBdr>
        <w:top w:val="none" w:sz="0" w:space="0" w:color="auto"/>
        <w:left w:val="none" w:sz="0" w:space="0" w:color="auto"/>
        <w:bottom w:val="none" w:sz="0" w:space="0" w:color="auto"/>
        <w:right w:val="none" w:sz="0" w:space="0" w:color="auto"/>
      </w:divBdr>
      <w:divsChild>
        <w:div w:id="1569146162">
          <w:marLeft w:val="0"/>
          <w:marRight w:val="0"/>
          <w:marTop w:val="0"/>
          <w:marBottom w:val="0"/>
          <w:divBdr>
            <w:top w:val="single" w:sz="2" w:space="0" w:color="D9D9E3"/>
            <w:left w:val="single" w:sz="2" w:space="0" w:color="D9D9E3"/>
            <w:bottom w:val="single" w:sz="2" w:space="0" w:color="D9D9E3"/>
            <w:right w:val="single" w:sz="2" w:space="0" w:color="D9D9E3"/>
          </w:divBdr>
          <w:divsChild>
            <w:div w:id="1762919346">
              <w:marLeft w:val="0"/>
              <w:marRight w:val="0"/>
              <w:marTop w:val="0"/>
              <w:marBottom w:val="0"/>
              <w:divBdr>
                <w:top w:val="single" w:sz="2" w:space="0" w:color="D9D9E3"/>
                <w:left w:val="single" w:sz="2" w:space="0" w:color="D9D9E3"/>
                <w:bottom w:val="single" w:sz="2" w:space="0" w:color="D9D9E3"/>
                <w:right w:val="single" w:sz="2" w:space="0" w:color="D9D9E3"/>
              </w:divBdr>
              <w:divsChild>
                <w:div w:id="917443811">
                  <w:marLeft w:val="0"/>
                  <w:marRight w:val="0"/>
                  <w:marTop w:val="0"/>
                  <w:marBottom w:val="0"/>
                  <w:divBdr>
                    <w:top w:val="single" w:sz="2" w:space="0" w:color="D9D9E3"/>
                    <w:left w:val="single" w:sz="2" w:space="0" w:color="D9D9E3"/>
                    <w:bottom w:val="single" w:sz="2" w:space="0" w:color="D9D9E3"/>
                    <w:right w:val="single" w:sz="2" w:space="0" w:color="D9D9E3"/>
                  </w:divBdr>
                  <w:divsChild>
                    <w:div w:id="2029869217">
                      <w:marLeft w:val="0"/>
                      <w:marRight w:val="0"/>
                      <w:marTop w:val="0"/>
                      <w:marBottom w:val="0"/>
                      <w:divBdr>
                        <w:top w:val="single" w:sz="2" w:space="0" w:color="D9D9E3"/>
                        <w:left w:val="single" w:sz="2" w:space="0" w:color="D9D9E3"/>
                        <w:bottom w:val="single" w:sz="2" w:space="0" w:color="D9D9E3"/>
                        <w:right w:val="single" w:sz="2" w:space="0" w:color="D9D9E3"/>
                      </w:divBdr>
                      <w:divsChild>
                        <w:div w:id="1706327569">
                          <w:marLeft w:val="0"/>
                          <w:marRight w:val="0"/>
                          <w:marTop w:val="0"/>
                          <w:marBottom w:val="0"/>
                          <w:divBdr>
                            <w:top w:val="none" w:sz="0" w:space="0" w:color="auto"/>
                            <w:left w:val="none" w:sz="0" w:space="0" w:color="auto"/>
                            <w:bottom w:val="none" w:sz="0" w:space="0" w:color="auto"/>
                            <w:right w:val="none" w:sz="0" w:space="0" w:color="auto"/>
                          </w:divBdr>
                          <w:divsChild>
                            <w:div w:id="910894756">
                              <w:marLeft w:val="0"/>
                              <w:marRight w:val="0"/>
                              <w:marTop w:val="100"/>
                              <w:marBottom w:val="100"/>
                              <w:divBdr>
                                <w:top w:val="single" w:sz="2" w:space="0" w:color="D9D9E3"/>
                                <w:left w:val="single" w:sz="2" w:space="0" w:color="D9D9E3"/>
                                <w:bottom w:val="single" w:sz="2" w:space="0" w:color="D9D9E3"/>
                                <w:right w:val="single" w:sz="2" w:space="0" w:color="D9D9E3"/>
                              </w:divBdr>
                              <w:divsChild>
                                <w:div w:id="388963048">
                                  <w:marLeft w:val="0"/>
                                  <w:marRight w:val="0"/>
                                  <w:marTop w:val="0"/>
                                  <w:marBottom w:val="0"/>
                                  <w:divBdr>
                                    <w:top w:val="single" w:sz="2" w:space="0" w:color="D9D9E3"/>
                                    <w:left w:val="single" w:sz="2" w:space="0" w:color="D9D9E3"/>
                                    <w:bottom w:val="single" w:sz="2" w:space="0" w:color="D9D9E3"/>
                                    <w:right w:val="single" w:sz="2" w:space="0" w:color="D9D9E3"/>
                                  </w:divBdr>
                                  <w:divsChild>
                                    <w:div w:id="768434180">
                                      <w:marLeft w:val="0"/>
                                      <w:marRight w:val="0"/>
                                      <w:marTop w:val="0"/>
                                      <w:marBottom w:val="0"/>
                                      <w:divBdr>
                                        <w:top w:val="single" w:sz="2" w:space="0" w:color="D9D9E3"/>
                                        <w:left w:val="single" w:sz="2" w:space="0" w:color="D9D9E3"/>
                                        <w:bottom w:val="single" w:sz="2" w:space="0" w:color="D9D9E3"/>
                                        <w:right w:val="single" w:sz="2" w:space="0" w:color="D9D9E3"/>
                                      </w:divBdr>
                                      <w:divsChild>
                                        <w:div w:id="616764622">
                                          <w:marLeft w:val="0"/>
                                          <w:marRight w:val="0"/>
                                          <w:marTop w:val="0"/>
                                          <w:marBottom w:val="0"/>
                                          <w:divBdr>
                                            <w:top w:val="single" w:sz="2" w:space="0" w:color="D9D9E3"/>
                                            <w:left w:val="single" w:sz="2" w:space="0" w:color="D9D9E3"/>
                                            <w:bottom w:val="single" w:sz="2" w:space="0" w:color="D9D9E3"/>
                                            <w:right w:val="single" w:sz="2" w:space="0" w:color="D9D9E3"/>
                                          </w:divBdr>
                                          <w:divsChild>
                                            <w:div w:id="979194003">
                                              <w:marLeft w:val="0"/>
                                              <w:marRight w:val="0"/>
                                              <w:marTop w:val="0"/>
                                              <w:marBottom w:val="0"/>
                                              <w:divBdr>
                                                <w:top w:val="single" w:sz="2" w:space="0" w:color="D9D9E3"/>
                                                <w:left w:val="single" w:sz="2" w:space="0" w:color="D9D9E3"/>
                                                <w:bottom w:val="single" w:sz="2" w:space="0" w:color="D9D9E3"/>
                                                <w:right w:val="single" w:sz="2" w:space="0" w:color="D9D9E3"/>
                                              </w:divBdr>
                                              <w:divsChild>
                                                <w:div w:id="908005392">
                                                  <w:marLeft w:val="0"/>
                                                  <w:marRight w:val="0"/>
                                                  <w:marTop w:val="0"/>
                                                  <w:marBottom w:val="0"/>
                                                  <w:divBdr>
                                                    <w:top w:val="single" w:sz="2" w:space="0" w:color="D9D9E3"/>
                                                    <w:left w:val="single" w:sz="2" w:space="0" w:color="D9D9E3"/>
                                                    <w:bottom w:val="single" w:sz="2" w:space="0" w:color="D9D9E3"/>
                                                    <w:right w:val="single" w:sz="2" w:space="0" w:color="D9D9E3"/>
                                                  </w:divBdr>
                                                  <w:divsChild>
                                                    <w:div w:id="511801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3807580">
          <w:marLeft w:val="0"/>
          <w:marRight w:val="0"/>
          <w:marTop w:val="0"/>
          <w:marBottom w:val="0"/>
          <w:divBdr>
            <w:top w:val="none" w:sz="0" w:space="0" w:color="auto"/>
            <w:left w:val="none" w:sz="0" w:space="0" w:color="auto"/>
            <w:bottom w:val="none" w:sz="0" w:space="0" w:color="auto"/>
            <w:right w:val="none" w:sz="0" w:space="0" w:color="auto"/>
          </w:divBdr>
        </w:div>
      </w:divsChild>
    </w:div>
    <w:div w:id="688481729">
      <w:bodyDiv w:val="1"/>
      <w:marLeft w:val="0"/>
      <w:marRight w:val="0"/>
      <w:marTop w:val="0"/>
      <w:marBottom w:val="0"/>
      <w:divBdr>
        <w:top w:val="none" w:sz="0" w:space="0" w:color="auto"/>
        <w:left w:val="none" w:sz="0" w:space="0" w:color="auto"/>
        <w:bottom w:val="none" w:sz="0" w:space="0" w:color="auto"/>
        <w:right w:val="none" w:sz="0" w:space="0" w:color="auto"/>
      </w:divBdr>
    </w:div>
    <w:div w:id="886069919">
      <w:bodyDiv w:val="1"/>
      <w:marLeft w:val="0"/>
      <w:marRight w:val="0"/>
      <w:marTop w:val="0"/>
      <w:marBottom w:val="0"/>
      <w:divBdr>
        <w:top w:val="none" w:sz="0" w:space="0" w:color="auto"/>
        <w:left w:val="none" w:sz="0" w:space="0" w:color="auto"/>
        <w:bottom w:val="none" w:sz="0" w:space="0" w:color="auto"/>
        <w:right w:val="none" w:sz="0" w:space="0" w:color="auto"/>
      </w:divBdr>
      <w:divsChild>
        <w:div w:id="2129204172">
          <w:marLeft w:val="0"/>
          <w:marRight w:val="0"/>
          <w:marTop w:val="0"/>
          <w:marBottom w:val="0"/>
          <w:divBdr>
            <w:top w:val="single" w:sz="2" w:space="0" w:color="D9D9E3"/>
            <w:left w:val="single" w:sz="2" w:space="0" w:color="D9D9E3"/>
            <w:bottom w:val="single" w:sz="2" w:space="0" w:color="D9D9E3"/>
            <w:right w:val="single" w:sz="2" w:space="0" w:color="D9D9E3"/>
          </w:divBdr>
          <w:divsChild>
            <w:div w:id="518013376">
              <w:marLeft w:val="0"/>
              <w:marRight w:val="0"/>
              <w:marTop w:val="0"/>
              <w:marBottom w:val="0"/>
              <w:divBdr>
                <w:top w:val="single" w:sz="2" w:space="0" w:color="D9D9E3"/>
                <w:left w:val="single" w:sz="2" w:space="0" w:color="D9D9E3"/>
                <w:bottom w:val="single" w:sz="2" w:space="0" w:color="D9D9E3"/>
                <w:right w:val="single" w:sz="2" w:space="0" w:color="D9D9E3"/>
              </w:divBdr>
              <w:divsChild>
                <w:div w:id="857306922">
                  <w:marLeft w:val="0"/>
                  <w:marRight w:val="0"/>
                  <w:marTop w:val="0"/>
                  <w:marBottom w:val="0"/>
                  <w:divBdr>
                    <w:top w:val="single" w:sz="2" w:space="0" w:color="D9D9E3"/>
                    <w:left w:val="single" w:sz="2" w:space="0" w:color="D9D9E3"/>
                    <w:bottom w:val="single" w:sz="2" w:space="0" w:color="D9D9E3"/>
                    <w:right w:val="single" w:sz="2" w:space="0" w:color="D9D9E3"/>
                  </w:divBdr>
                  <w:divsChild>
                    <w:div w:id="1859271799">
                      <w:marLeft w:val="0"/>
                      <w:marRight w:val="0"/>
                      <w:marTop w:val="0"/>
                      <w:marBottom w:val="0"/>
                      <w:divBdr>
                        <w:top w:val="single" w:sz="2" w:space="0" w:color="D9D9E3"/>
                        <w:left w:val="single" w:sz="2" w:space="0" w:color="D9D9E3"/>
                        <w:bottom w:val="single" w:sz="2" w:space="0" w:color="D9D9E3"/>
                        <w:right w:val="single" w:sz="2" w:space="0" w:color="D9D9E3"/>
                      </w:divBdr>
                      <w:divsChild>
                        <w:div w:id="759254768">
                          <w:marLeft w:val="0"/>
                          <w:marRight w:val="0"/>
                          <w:marTop w:val="0"/>
                          <w:marBottom w:val="0"/>
                          <w:divBdr>
                            <w:top w:val="none" w:sz="0" w:space="0" w:color="auto"/>
                            <w:left w:val="none" w:sz="0" w:space="0" w:color="auto"/>
                            <w:bottom w:val="none" w:sz="0" w:space="0" w:color="auto"/>
                            <w:right w:val="none" w:sz="0" w:space="0" w:color="auto"/>
                          </w:divBdr>
                          <w:divsChild>
                            <w:div w:id="5928647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38640760">
                                  <w:marLeft w:val="0"/>
                                  <w:marRight w:val="0"/>
                                  <w:marTop w:val="0"/>
                                  <w:marBottom w:val="0"/>
                                  <w:divBdr>
                                    <w:top w:val="single" w:sz="2" w:space="0" w:color="D9D9E3"/>
                                    <w:left w:val="single" w:sz="2" w:space="0" w:color="D9D9E3"/>
                                    <w:bottom w:val="single" w:sz="2" w:space="0" w:color="D9D9E3"/>
                                    <w:right w:val="single" w:sz="2" w:space="0" w:color="D9D9E3"/>
                                  </w:divBdr>
                                  <w:divsChild>
                                    <w:div w:id="1736200618">
                                      <w:marLeft w:val="0"/>
                                      <w:marRight w:val="0"/>
                                      <w:marTop w:val="0"/>
                                      <w:marBottom w:val="0"/>
                                      <w:divBdr>
                                        <w:top w:val="single" w:sz="2" w:space="0" w:color="D9D9E3"/>
                                        <w:left w:val="single" w:sz="2" w:space="0" w:color="D9D9E3"/>
                                        <w:bottom w:val="single" w:sz="2" w:space="0" w:color="D9D9E3"/>
                                        <w:right w:val="single" w:sz="2" w:space="0" w:color="D9D9E3"/>
                                      </w:divBdr>
                                      <w:divsChild>
                                        <w:div w:id="1160578254">
                                          <w:marLeft w:val="0"/>
                                          <w:marRight w:val="0"/>
                                          <w:marTop w:val="0"/>
                                          <w:marBottom w:val="0"/>
                                          <w:divBdr>
                                            <w:top w:val="single" w:sz="2" w:space="0" w:color="D9D9E3"/>
                                            <w:left w:val="single" w:sz="2" w:space="0" w:color="D9D9E3"/>
                                            <w:bottom w:val="single" w:sz="2" w:space="0" w:color="D9D9E3"/>
                                            <w:right w:val="single" w:sz="2" w:space="0" w:color="D9D9E3"/>
                                          </w:divBdr>
                                          <w:divsChild>
                                            <w:div w:id="330766670">
                                              <w:marLeft w:val="0"/>
                                              <w:marRight w:val="0"/>
                                              <w:marTop w:val="0"/>
                                              <w:marBottom w:val="0"/>
                                              <w:divBdr>
                                                <w:top w:val="single" w:sz="2" w:space="0" w:color="D9D9E3"/>
                                                <w:left w:val="single" w:sz="2" w:space="0" w:color="D9D9E3"/>
                                                <w:bottom w:val="single" w:sz="2" w:space="0" w:color="D9D9E3"/>
                                                <w:right w:val="single" w:sz="2" w:space="0" w:color="D9D9E3"/>
                                              </w:divBdr>
                                              <w:divsChild>
                                                <w:div w:id="1015689840">
                                                  <w:marLeft w:val="0"/>
                                                  <w:marRight w:val="0"/>
                                                  <w:marTop w:val="0"/>
                                                  <w:marBottom w:val="0"/>
                                                  <w:divBdr>
                                                    <w:top w:val="single" w:sz="2" w:space="0" w:color="D9D9E3"/>
                                                    <w:left w:val="single" w:sz="2" w:space="0" w:color="D9D9E3"/>
                                                    <w:bottom w:val="single" w:sz="2" w:space="0" w:color="D9D9E3"/>
                                                    <w:right w:val="single" w:sz="2" w:space="0" w:color="D9D9E3"/>
                                                  </w:divBdr>
                                                  <w:divsChild>
                                                    <w:div w:id="1566187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71111">
          <w:marLeft w:val="0"/>
          <w:marRight w:val="0"/>
          <w:marTop w:val="0"/>
          <w:marBottom w:val="0"/>
          <w:divBdr>
            <w:top w:val="none" w:sz="0" w:space="0" w:color="auto"/>
            <w:left w:val="none" w:sz="0" w:space="0" w:color="auto"/>
            <w:bottom w:val="none" w:sz="0" w:space="0" w:color="auto"/>
            <w:right w:val="none" w:sz="0" w:space="0" w:color="auto"/>
          </w:divBdr>
        </w:div>
      </w:divsChild>
    </w:div>
    <w:div w:id="928584804">
      <w:bodyDiv w:val="1"/>
      <w:marLeft w:val="0"/>
      <w:marRight w:val="0"/>
      <w:marTop w:val="0"/>
      <w:marBottom w:val="0"/>
      <w:divBdr>
        <w:top w:val="none" w:sz="0" w:space="0" w:color="auto"/>
        <w:left w:val="none" w:sz="0" w:space="0" w:color="auto"/>
        <w:bottom w:val="none" w:sz="0" w:space="0" w:color="auto"/>
        <w:right w:val="none" w:sz="0" w:space="0" w:color="auto"/>
      </w:divBdr>
    </w:div>
    <w:div w:id="94103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doi.org/10.18087/cardio.2018.10.10152" TargetMode="Externa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9CC1BE-979B-4B94-91B8-5EB207A432AA}"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kk-KZ"/>
        </a:p>
      </dgm:t>
    </dgm:pt>
    <dgm:pt modelId="{1D39DFAF-0EC7-41A4-B9DC-AB878033A0DE}">
      <dgm:prSet phldrT="[Текст]" custT="1"/>
      <dgm:spPr/>
      <dgm:t>
        <a:bodyPr/>
        <a:lstStyle/>
        <a:p>
          <a:pPr algn="ctr"/>
          <a:r>
            <a:rPr lang="fr-FR" sz="1200" b="1" dirty="0">
              <a:latin typeface="Times New Roman" panose="02020603050405020304" pitchFamily="18" charset="0"/>
              <a:cs typeface="Times New Roman" panose="02020603050405020304" pitchFamily="18" charset="0"/>
            </a:rPr>
            <a:t>Observational analytical case-control study, N=301.</a:t>
          </a:r>
          <a:endParaRPr lang="kk-KZ" sz="1200" b="1" dirty="0">
            <a:latin typeface="Times New Roman" panose="02020603050405020304" pitchFamily="18" charset="0"/>
            <a:cs typeface="Times New Roman" panose="02020603050405020304" pitchFamily="18" charset="0"/>
          </a:endParaRPr>
        </a:p>
      </dgm:t>
    </dgm:pt>
    <dgm:pt modelId="{9EA7BC0A-B115-4F24-A86B-C72666827F2C}" type="parTrans" cxnId="{D1886195-5FFE-4A2C-A067-121D1A07D1A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7EA86DF5-89C4-4829-AB41-338CD87E7535}" type="sibTrans" cxnId="{D1886195-5FFE-4A2C-A067-121D1A07D1A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BCC16E3F-66D3-4FD8-9BE5-BB412AB0EFEE}">
      <dgm:prSet phldrT="[Текст]" custT="1"/>
      <dgm:spPr/>
      <dgm:t>
        <a:bodyPr/>
        <a:lstStyle/>
        <a:p>
          <a:pPr algn="ctr"/>
          <a:r>
            <a:rPr lang="en-US" sz="1200" b="1" dirty="0">
              <a:latin typeface="Times New Roman" panose="02020603050405020304" pitchFamily="18" charset="0"/>
              <a:cs typeface="Times New Roman" panose="02020603050405020304" pitchFamily="18" charset="0"/>
            </a:rPr>
            <a:t>T2D</a:t>
          </a:r>
          <a:endParaRPr lang="kk-KZ" sz="1200" b="1" dirty="0">
            <a:latin typeface="Times New Roman" panose="02020603050405020304" pitchFamily="18" charset="0"/>
            <a:cs typeface="Times New Roman" panose="02020603050405020304" pitchFamily="18" charset="0"/>
          </a:endParaRPr>
        </a:p>
      </dgm:t>
    </dgm:pt>
    <dgm:pt modelId="{F3E0690B-646A-49E8-B002-DA14A0C37317}" type="parTrans" cxnId="{BA08F897-A862-4B36-AEBC-6C732F887431}">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0703F88B-67C5-47BC-A1F5-C69D86928CB7}" type="sibTrans" cxnId="{BA08F897-A862-4B36-AEBC-6C732F887431}">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FD6BEA93-14B1-40D2-9563-B21E4E68A7C5}">
      <dgm:prSet phldrT="[Текст]" custT="1"/>
      <dgm:spPr/>
      <dgm:t>
        <a:bodyPr/>
        <a:lstStyle/>
        <a:p>
          <a:pPr algn="ctr"/>
          <a:r>
            <a:rPr lang="en-US" sz="1200" b="1" dirty="0">
              <a:latin typeface="Times New Roman" panose="02020603050405020304" pitchFamily="18" charset="0"/>
              <a:cs typeface="Times New Roman" panose="02020603050405020304" pitchFamily="18" charset="0"/>
            </a:rPr>
            <a:t>Prediabetes</a:t>
          </a:r>
          <a:endParaRPr lang="kk-KZ" sz="1200" b="1" dirty="0">
            <a:latin typeface="Times New Roman" panose="02020603050405020304" pitchFamily="18" charset="0"/>
            <a:cs typeface="Times New Roman" panose="02020603050405020304" pitchFamily="18" charset="0"/>
          </a:endParaRPr>
        </a:p>
      </dgm:t>
    </dgm:pt>
    <dgm:pt modelId="{F4C4A53C-09C4-4CFB-BAD7-BE36F557AE29}" type="parTrans" cxnId="{5195E747-E797-4D68-B747-9C4E80F6B668}">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D735FD7C-DA0B-4C2F-B42A-29695E740C1B}" type="sibTrans" cxnId="{5195E747-E797-4D68-B747-9C4E80F6B668}">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C9D7D02E-7FCE-4884-98E6-FA306D8FBB7C}">
      <dgm:prSet custT="1"/>
      <dgm:spPr/>
      <dgm:t>
        <a:bodyPr/>
        <a:lstStyle/>
        <a:p>
          <a:pPr algn="ctr"/>
          <a:r>
            <a:rPr lang="fr-FR" sz="1200" b="1" dirty="0">
              <a:latin typeface="Times New Roman" panose="02020603050405020304" pitchFamily="18" charset="0"/>
              <a:cs typeface="Times New Roman" panose="02020603050405020304" pitchFamily="18" charset="0"/>
            </a:rPr>
            <a:t>Group 3 "Case"</a:t>
          </a:r>
          <a:endParaRPr lang="kk-KZ" sz="1200" b="1" dirty="0">
            <a:latin typeface="Times New Roman" panose="02020603050405020304" pitchFamily="18" charset="0"/>
            <a:cs typeface="Times New Roman" panose="02020603050405020304" pitchFamily="18" charset="0"/>
          </a:endParaRPr>
        </a:p>
        <a:p>
          <a:pPr algn="ctr"/>
          <a:r>
            <a:rPr lang="fr-FR" sz="1200" b="1" dirty="0">
              <a:latin typeface="Times New Roman" panose="02020603050405020304" pitchFamily="18" charset="0"/>
              <a:cs typeface="Times New Roman" panose="02020603050405020304" pitchFamily="18" charset="0"/>
            </a:rPr>
            <a:t>N=85</a:t>
          </a:r>
          <a:endParaRPr lang="kk-KZ" sz="1200" b="1" dirty="0">
            <a:latin typeface="Times New Roman" panose="02020603050405020304" pitchFamily="18" charset="0"/>
            <a:cs typeface="Times New Roman" panose="02020603050405020304" pitchFamily="18" charset="0"/>
          </a:endParaRPr>
        </a:p>
      </dgm:t>
    </dgm:pt>
    <dgm:pt modelId="{544AB669-3A00-4498-AEDB-2629CE4B63DE}" type="parTrans" cxnId="{4B8E5C5D-7FEF-42BC-BECE-EAAAD20FF472}">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E115ACC9-9E32-4AAA-8010-E7638A682855}" type="sibTrans" cxnId="{4B8E5C5D-7FEF-42BC-BECE-EAAAD20FF472}">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31B91D57-E76E-4F84-91D7-C220BE1EE65D}">
      <dgm:prSet custT="1"/>
      <dgm:spPr/>
      <dgm:t>
        <a:bodyPr/>
        <a:lstStyle/>
        <a:p>
          <a:pPr algn="ctr"/>
          <a:r>
            <a:rPr lang="en-US" sz="1200" b="1" dirty="0">
              <a:latin typeface="Times New Roman" panose="02020603050405020304" pitchFamily="18" charset="0"/>
              <a:cs typeface="Times New Roman" panose="02020603050405020304" pitchFamily="18" charset="0"/>
            </a:rPr>
            <a:t>Group 4</a:t>
          </a:r>
          <a:r>
            <a:rPr lang="kk-KZ" sz="1200" b="1" dirty="0">
              <a:latin typeface="Times New Roman" panose="02020603050405020304" pitchFamily="18" charset="0"/>
              <a:cs typeface="Times New Roman" panose="02020603050405020304" pitchFamily="18" charset="0"/>
            </a:rPr>
            <a:t> </a:t>
          </a:r>
          <a:r>
            <a:rPr lang="fr-FR" sz="1200" b="1" dirty="0">
              <a:latin typeface="Times New Roman" panose="02020603050405020304" pitchFamily="18" charset="0"/>
              <a:cs typeface="Times New Roman" panose="02020603050405020304" pitchFamily="18" charset="0"/>
            </a:rPr>
            <a:t>"</a:t>
          </a:r>
          <a:r>
            <a:rPr lang="en-US" sz="1200" b="1" dirty="0">
              <a:latin typeface="Times New Roman" panose="02020603050405020304" pitchFamily="18" charset="0"/>
              <a:cs typeface="Times New Roman" panose="02020603050405020304" pitchFamily="18" charset="0"/>
            </a:rPr>
            <a:t>Control</a:t>
          </a:r>
          <a:r>
            <a:rPr lang="fr-FR" sz="1200" b="1" dirty="0">
              <a:latin typeface="Times New Roman" panose="02020603050405020304" pitchFamily="18" charset="0"/>
              <a:cs typeface="Times New Roman" panose="02020603050405020304" pitchFamily="18" charset="0"/>
            </a:rPr>
            <a:t>"</a:t>
          </a:r>
          <a:endParaRPr lang="kk-KZ" sz="1200" b="1" dirty="0">
            <a:latin typeface="Times New Roman" panose="02020603050405020304" pitchFamily="18" charset="0"/>
            <a:cs typeface="Times New Roman" panose="02020603050405020304" pitchFamily="18" charset="0"/>
          </a:endParaRPr>
        </a:p>
        <a:p>
          <a:pPr algn="ctr"/>
          <a:r>
            <a:rPr lang="en-US" sz="1200" b="1" dirty="0">
              <a:latin typeface="Times New Roman" panose="02020603050405020304" pitchFamily="18" charset="0"/>
              <a:cs typeface="Times New Roman" panose="02020603050405020304" pitchFamily="18" charset="0"/>
            </a:rPr>
            <a:t> N=112</a:t>
          </a:r>
          <a:endParaRPr lang="kk-KZ" sz="1200" b="1" dirty="0">
            <a:latin typeface="Times New Roman" panose="02020603050405020304" pitchFamily="18" charset="0"/>
            <a:cs typeface="Times New Roman" panose="02020603050405020304" pitchFamily="18" charset="0"/>
          </a:endParaRPr>
        </a:p>
      </dgm:t>
    </dgm:pt>
    <dgm:pt modelId="{A7FF1E98-EC89-4C09-BCDD-4C5D8F4A449E}" type="parTrans" cxnId="{C72EDB74-55C5-4375-9153-3E300E473A0A}">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E3E378A8-36A1-4D78-8618-EF7AD79D0F77}" type="sibTrans" cxnId="{C72EDB74-55C5-4375-9153-3E300E473A0A}">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60011651-A13E-43E1-8102-79FB22ADFE26}">
      <dgm:prSet custT="1"/>
      <dgm:spPr/>
      <dgm:t>
        <a:bodyPr/>
        <a:lstStyle/>
        <a:p>
          <a:pPr algn="ctr"/>
          <a:r>
            <a:rPr lang="fr-FR" sz="1200" b="1" dirty="0">
              <a:latin typeface="Times New Roman" panose="02020603050405020304" pitchFamily="18" charset="0"/>
              <a:cs typeface="Times New Roman" panose="02020603050405020304" pitchFamily="18" charset="0"/>
            </a:rPr>
            <a:t>Group 3 "Control"</a:t>
          </a:r>
          <a:endParaRPr lang="kk-KZ" sz="1200" b="1" dirty="0">
            <a:latin typeface="Times New Roman" panose="02020603050405020304" pitchFamily="18" charset="0"/>
            <a:cs typeface="Times New Roman" panose="02020603050405020304" pitchFamily="18" charset="0"/>
          </a:endParaRPr>
        </a:p>
        <a:p>
          <a:pPr algn="ctr"/>
          <a:r>
            <a:rPr lang="fr-FR" sz="1200" b="1" dirty="0">
              <a:latin typeface="Times New Roman" panose="02020603050405020304" pitchFamily="18" charset="0"/>
              <a:cs typeface="Times New Roman" panose="02020603050405020304" pitchFamily="18" charset="0"/>
            </a:rPr>
            <a:t>N=37</a:t>
          </a:r>
          <a:endParaRPr lang="kk-KZ" sz="1200" b="1" dirty="0">
            <a:latin typeface="Times New Roman" panose="02020603050405020304" pitchFamily="18" charset="0"/>
            <a:cs typeface="Times New Roman" panose="02020603050405020304" pitchFamily="18" charset="0"/>
          </a:endParaRPr>
        </a:p>
      </dgm:t>
    </dgm:pt>
    <dgm:pt modelId="{91606984-FB00-4A94-AF91-6AB3E1A494D5}" type="parTrans" cxnId="{AF52B565-2501-4F8E-BD18-7F4620EA876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13D6E7B8-2825-4289-ACC4-481F47A728BA}" type="sibTrans" cxnId="{AF52B565-2501-4F8E-BD18-7F4620EA876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28EF53D5-3A3C-4E68-A756-5397D7ED200E}">
      <dgm:prSet custT="1"/>
      <dgm:spPr/>
      <dgm:t>
        <a:bodyPr/>
        <a:lstStyle/>
        <a:p>
          <a:pPr algn="ctr"/>
          <a:r>
            <a:rPr lang="fr-FR" sz="1200" b="1" dirty="0">
              <a:latin typeface="Times New Roman" panose="02020603050405020304" pitchFamily="18" charset="0"/>
              <a:cs typeface="Times New Roman" panose="02020603050405020304" pitchFamily="18" charset="0"/>
            </a:rPr>
            <a:t>Group 1 "Case"</a:t>
          </a:r>
          <a:endParaRPr lang="kk-KZ" sz="1200" b="1" dirty="0">
            <a:latin typeface="Times New Roman" panose="02020603050405020304" pitchFamily="18" charset="0"/>
            <a:cs typeface="Times New Roman" panose="02020603050405020304" pitchFamily="18" charset="0"/>
          </a:endParaRPr>
        </a:p>
        <a:p>
          <a:pPr algn="ctr"/>
          <a:r>
            <a:rPr lang="fr-FR" sz="1200" b="1" dirty="0">
              <a:latin typeface="Times New Roman" panose="02020603050405020304" pitchFamily="18" charset="0"/>
              <a:cs typeface="Times New Roman" panose="02020603050405020304" pitchFamily="18" charset="0"/>
            </a:rPr>
            <a:t>N=37</a:t>
          </a:r>
          <a:endParaRPr lang="kk-KZ" sz="1200" b="1" dirty="0">
            <a:latin typeface="Times New Roman" panose="02020603050405020304" pitchFamily="18" charset="0"/>
            <a:cs typeface="Times New Roman" panose="02020603050405020304" pitchFamily="18" charset="0"/>
          </a:endParaRPr>
        </a:p>
      </dgm:t>
    </dgm:pt>
    <dgm:pt modelId="{4701DB16-ABDC-4E9B-AC9D-CE96E540D622}" type="sibTrans" cxnId="{B863B734-0BBC-486B-935B-7A5C067A87FF}">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A0296CB3-4F46-4AC7-923C-555DE7C0C537}" type="parTrans" cxnId="{B863B734-0BBC-486B-935B-7A5C067A87FF}">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13827780-67EB-4444-92FA-B9A60B44BBB6}" type="pres">
      <dgm:prSet presAssocID="{039CC1BE-979B-4B94-91B8-5EB207A432AA}" presName="hierChild1" presStyleCnt="0">
        <dgm:presLayoutVars>
          <dgm:orgChart val="1"/>
          <dgm:chPref val="1"/>
          <dgm:dir/>
          <dgm:animOne val="branch"/>
          <dgm:animLvl val="lvl"/>
          <dgm:resizeHandles/>
        </dgm:presLayoutVars>
      </dgm:prSet>
      <dgm:spPr/>
    </dgm:pt>
    <dgm:pt modelId="{5387BB01-6E43-496B-825E-234598A4A4DD}" type="pres">
      <dgm:prSet presAssocID="{1D39DFAF-0EC7-41A4-B9DC-AB878033A0DE}" presName="hierRoot1" presStyleCnt="0">
        <dgm:presLayoutVars>
          <dgm:hierBranch val="init"/>
        </dgm:presLayoutVars>
      </dgm:prSet>
      <dgm:spPr/>
    </dgm:pt>
    <dgm:pt modelId="{2838317E-9C5F-4C36-A4C1-E92F3606A807}" type="pres">
      <dgm:prSet presAssocID="{1D39DFAF-0EC7-41A4-B9DC-AB878033A0DE}" presName="rootComposite1" presStyleCnt="0"/>
      <dgm:spPr/>
    </dgm:pt>
    <dgm:pt modelId="{F2DC539B-2F83-40EF-8770-10BFE4C7CC34}" type="pres">
      <dgm:prSet presAssocID="{1D39DFAF-0EC7-41A4-B9DC-AB878033A0DE}" presName="rootText1" presStyleLbl="node0" presStyleIdx="0" presStyleCnt="1" custScaleX="166511" custScaleY="65317">
        <dgm:presLayoutVars>
          <dgm:chPref val="3"/>
        </dgm:presLayoutVars>
      </dgm:prSet>
      <dgm:spPr/>
    </dgm:pt>
    <dgm:pt modelId="{DD811851-C60B-4108-9BFE-97DDF724D388}" type="pres">
      <dgm:prSet presAssocID="{1D39DFAF-0EC7-41A4-B9DC-AB878033A0DE}" presName="rootConnector1" presStyleLbl="node1" presStyleIdx="0" presStyleCnt="0"/>
      <dgm:spPr/>
    </dgm:pt>
    <dgm:pt modelId="{E4169607-018E-47BE-9C00-B7DE1D2B20D1}" type="pres">
      <dgm:prSet presAssocID="{1D39DFAF-0EC7-41A4-B9DC-AB878033A0DE}" presName="hierChild2" presStyleCnt="0"/>
      <dgm:spPr/>
    </dgm:pt>
    <dgm:pt modelId="{4CB5E759-254A-4672-B0FC-01E948C7D390}" type="pres">
      <dgm:prSet presAssocID="{F3E0690B-646A-49E8-B002-DA14A0C37317}" presName="Name37" presStyleLbl="parChTrans1D2" presStyleIdx="0" presStyleCnt="2"/>
      <dgm:spPr/>
    </dgm:pt>
    <dgm:pt modelId="{43F42B12-4F79-4063-AB25-902220870537}" type="pres">
      <dgm:prSet presAssocID="{BCC16E3F-66D3-4FD8-9BE5-BB412AB0EFEE}" presName="hierRoot2" presStyleCnt="0">
        <dgm:presLayoutVars>
          <dgm:hierBranch val="init"/>
        </dgm:presLayoutVars>
      </dgm:prSet>
      <dgm:spPr/>
    </dgm:pt>
    <dgm:pt modelId="{F123FD8D-2711-4F4D-B97B-4F5AA86C5CF5}" type="pres">
      <dgm:prSet presAssocID="{BCC16E3F-66D3-4FD8-9BE5-BB412AB0EFEE}" presName="rootComposite" presStyleCnt="0"/>
      <dgm:spPr/>
    </dgm:pt>
    <dgm:pt modelId="{605FF02F-1430-4704-B502-2521B60AD927}" type="pres">
      <dgm:prSet presAssocID="{BCC16E3F-66D3-4FD8-9BE5-BB412AB0EFEE}" presName="rootText" presStyleLbl="node2" presStyleIdx="0" presStyleCnt="2">
        <dgm:presLayoutVars>
          <dgm:chPref val="3"/>
        </dgm:presLayoutVars>
      </dgm:prSet>
      <dgm:spPr/>
    </dgm:pt>
    <dgm:pt modelId="{085FA7E7-22BD-47DC-A6EF-BDCFF33D19DE}" type="pres">
      <dgm:prSet presAssocID="{BCC16E3F-66D3-4FD8-9BE5-BB412AB0EFEE}" presName="rootConnector" presStyleLbl="node2" presStyleIdx="0" presStyleCnt="2"/>
      <dgm:spPr/>
    </dgm:pt>
    <dgm:pt modelId="{0464C7C0-2BE6-4710-B9E0-3C94A94DC208}" type="pres">
      <dgm:prSet presAssocID="{BCC16E3F-66D3-4FD8-9BE5-BB412AB0EFEE}" presName="hierChild4" presStyleCnt="0"/>
      <dgm:spPr/>
    </dgm:pt>
    <dgm:pt modelId="{3D7F1C4A-9173-44B1-B52C-800EDE1C25DD}" type="pres">
      <dgm:prSet presAssocID="{A0296CB3-4F46-4AC7-923C-555DE7C0C537}" presName="Name37" presStyleLbl="parChTrans1D3" presStyleIdx="0" presStyleCnt="4"/>
      <dgm:spPr/>
    </dgm:pt>
    <dgm:pt modelId="{19E7EC2E-42C8-4870-A49D-03F3879F4ED3}" type="pres">
      <dgm:prSet presAssocID="{28EF53D5-3A3C-4E68-A756-5397D7ED200E}" presName="hierRoot2" presStyleCnt="0">
        <dgm:presLayoutVars>
          <dgm:hierBranch val="init"/>
        </dgm:presLayoutVars>
      </dgm:prSet>
      <dgm:spPr/>
    </dgm:pt>
    <dgm:pt modelId="{9C88D41B-D26B-47F2-AD80-D2DA6A312E0F}" type="pres">
      <dgm:prSet presAssocID="{28EF53D5-3A3C-4E68-A756-5397D7ED200E}" presName="rootComposite" presStyleCnt="0"/>
      <dgm:spPr/>
    </dgm:pt>
    <dgm:pt modelId="{7F933DAB-FA85-4F43-A816-B63850C851B2}" type="pres">
      <dgm:prSet presAssocID="{28EF53D5-3A3C-4E68-A756-5397D7ED200E}" presName="rootText" presStyleLbl="node3" presStyleIdx="0" presStyleCnt="4">
        <dgm:presLayoutVars>
          <dgm:chPref val="3"/>
        </dgm:presLayoutVars>
      </dgm:prSet>
      <dgm:spPr/>
    </dgm:pt>
    <dgm:pt modelId="{2C1024B9-7B94-47DD-9B2C-BD3849E102A4}" type="pres">
      <dgm:prSet presAssocID="{28EF53D5-3A3C-4E68-A756-5397D7ED200E}" presName="rootConnector" presStyleLbl="node3" presStyleIdx="0" presStyleCnt="4"/>
      <dgm:spPr/>
    </dgm:pt>
    <dgm:pt modelId="{241F60EA-BB9A-43BC-9513-2B1C938D4574}" type="pres">
      <dgm:prSet presAssocID="{28EF53D5-3A3C-4E68-A756-5397D7ED200E}" presName="hierChild4" presStyleCnt="0"/>
      <dgm:spPr/>
    </dgm:pt>
    <dgm:pt modelId="{6B313964-406A-420A-91CF-5314E8704014}" type="pres">
      <dgm:prSet presAssocID="{28EF53D5-3A3C-4E68-A756-5397D7ED200E}" presName="hierChild5" presStyleCnt="0"/>
      <dgm:spPr/>
    </dgm:pt>
    <dgm:pt modelId="{664DDFAC-F7C5-4FF9-9DE2-6524AECC8C08}" type="pres">
      <dgm:prSet presAssocID="{91606984-FB00-4A94-AF91-6AB3E1A494D5}" presName="Name37" presStyleLbl="parChTrans1D3" presStyleIdx="1" presStyleCnt="4"/>
      <dgm:spPr/>
    </dgm:pt>
    <dgm:pt modelId="{7AF8586D-757A-48CB-A646-3A819103C556}" type="pres">
      <dgm:prSet presAssocID="{60011651-A13E-43E1-8102-79FB22ADFE26}" presName="hierRoot2" presStyleCnt="0">
        <dgm:presLayoutVars>
          <dgm:hierBranch val="init"/>
        </dgm:presLayoutVars>
      </dgm:prSet>
      <dgm:spPr/>
    </dgm:pt>
    <dgm:pt modelId="{8FAA72BB-E09A-4BE2-BED2-411C1683D96F}" type="pres">
      <dgm:prSet presAssocID="{60011651-A13E-43E1-8102-79FB22ADFE26}" presName="rootComposite" presStyleCnt="0"/>
      <dgm:spPr/>
    </dgm:pt>
    <dgm:pt modelId="{785EE221-7578-4E36-B2CE-3368067CE3DB}" type="pres">
      <dgm:prSet presAssocID="{60011651-A13E-43E1-8102-79FB22ADFE26}" presName="rootText" presStyleLbl="node3" presStyleIdx="1" presStyleCnt="4">
        <dgm:presLayoutVars>
          <dgm:chPref val="3"/>
        </dgm:presLayoutVars>
      </dgm:prSet>
      <dgm:spPr/>
    </dgm:pt>
    <dgm:pt modelId="{A4C7BFB2-905A-40BD-AE73-CC7393D16077}" type="pres">
      <dgm:prSet presAssocID="{60011651-A13E-43E1-8102-79FB22ADFE26}" presName="rootConnector" presStyleLbl="node3" presStyleIdx="1" presStyleCnt="4"/>
      <dgm:spPr/>
    </dgm:pt>
    <dgm:pt modelId="{7C06A1C2-94B4-4091-B5EB-87419E4B86CC}" type="pres">
      <dgm:prSet presAssocID="{60011651-A13E-43E1-8102-79FB22ADFE26}" presName="hierChild4" presStyleCnt="0"/>
      <dgm:spPr/>
    </dgm:pt>
    <dgm:pt modelId="{44FF5B60-5335-49D5-B4D9-9E0A75C1C699}" type="pres">
      <dgm:prSet presAssocID="{60011651-A13E-43E1-8102-79FB22ADFE26}" presName="hierChild5" presStyleCnt="0"/>
      <dgm:spPr/>
    </dgm:pt>
    <dgm:pt modelId="{80225053-6A3F-4364-9CC2-4D21983BB4A4}" type="pres">
      <dgm:prSet presAssocID="{BCC16E3F-66D3-4FD8-9BE5-BB412AB0EFEE}" presName="hierChild5" presStyleCnt="0"/>
      <dgm:spPr/>
    </dgm:pt>
    <dgm:pt modelId="{134A33A9-2793-42A3-BCB5-45DDD47E6743}" type="pres">
      <dgm:prSet presAssocID="{F4C4A53C-09C4-4CFB-BAD7-BE36F557AE29}" presName="Name37" presStyleLbl="parChTrans1D2" presStyleIdx="1" presStyleCnt="2"/>
      <dgm:spPr/>
    </dgm:pt>
    <dgm:pt modelId="{72813AAE-6684-4433-A3CD-5B06EE779E58}" type="pres">
      <dgm:prSet presAssocID="{FD6BEA93-14B1-40D2-9563-B21E4E68A7C5}" presName="hierRoot2" presStyleCnt="0">
        <dgm:presLayoutVars>
          <dgm:hierBranch val="init"/>
        </dgm:presLayoutVars>
      </dgm:prSet>
      <dgm:spPr/>
    </dgm:pt>
    <dgm:pt modelId="{53C608FA-C951-4279-ADEE-551FA67DEB9B}" type="pres">
      <dgm:prSet presAssocID="{FD6BEA93-14B1-40D2-9563-B21E4E68A7C5}" presName="rootComposite" presStyleCnt="0"/>
      <dgm:spPr/>
    </dgm:pt>
    <dgm:pt modelId="{72C6B9F5-4CA1-4A4F-81C6-7DA158BC118D}" type="pres">
      <dgm:prSet presAssocID="{FD6BEA93-14B1-40D2-9563-B21E4E68A7C5}" presName="rootText" presStyleLbl="node2" presStyleIdx="1" presStyleCnt="2">
        <dgm:presLayoutVars>
          <dgm:chPref val="3"/>
        </dgm:presLayoutVars>
      </dgm:prSet>
      <dgm:spPr/>
    </dgm:pt>
    <dgm:pt modelId="{064172B6-A790-44D2-9A20-C930B08B96BB}" type="pres">
      <dgm:prSet presAssocID="{FD6BEA93-14B1-40D2-9563-B21E4E68A7C5}" presName="rootConnector" presStyleLbl="node2" presStyleIdx="1" presStyleCnt="2"/>
      <dgm:spPr/>
    </dgm:pt>
    <dgm:pt modelId="{9AE3D057-B765-4A04-A8C5-115224C06637}" type="pres">
      <dgm:prSet presAssocID="{FD6BEA93-14B1-40D2-9563-B21E4E68A7C5}" presName="hierChild4" presStyleCnt="0"/>
      <dgm:spPr/>
    </dgm:pt>
    <dgm:pt modelId="{EF59AC70-1095-4589-8652-C22D04A7C551}" type="pres">
      <dgm:prSet presAssocID="{544AB669-3A00-4498-AEDB-2629CE4B63DE}" presName="Name37" presStyleLbl="parChTrans1D3" presStyleIdx="2" presStyleCnt="4"/>
      <dgm:spPr/>
    </dgm:pt>
    <dgm:pt modelId="{9FFD5A1E-C57A-4926-950E-A6248DF269A9}" type="pres">
      <dgm:prSet presAssocID="{C9D7D02E-7FCE-4884-98E6-FA306D8FBB7C}" presName="hierRoot2" presStyleCnt="0">
        <dgm:presLayoutVars>
          <dgm:hierBranch val="init"/>
        </dgm:presLayoutVars>
      </dgm:prSet>
      <dgm:spPr/>
    </dgm:pt>
    <dgm:pt modelId="{A3D121AB-48F0-4DDC-B570-F780C68F6F15}" type="pres">
      <dgm:prSet presAssocID="{C9D7D02E-7FCE-4884-98E6-FA306D8FBB7C}" presName="rootComposite" presStyleCnt="0"/>
      <dgm:spPr/>
    </dgm:pt>
    <dgm:pt modelId="{87A48D36-1807-4173-8BBD-506139CA3C65}" type="pres">
      <dgm:prSet presAssocID="{C9D7D02E-7FCE-4884-98E6-FA306D8FBB7C}" presName="rootText" presStyleLbl="node3" presStyleIdx="2" presStyleCnt="4">
        <dgm:presLayoutVars>
          <dgm:chPref val="3"/>
        </dgm:presLayoutVars>
      </dgm:prSet>
      <dgm:spPr/>
    </dgm:pt>
    <dgm:pt modelId="{894EC093-D5DF-4DD8-B5F2-8831F8A3ABC9}" type="pres">
      <dgm:prSet presAssocID="{C9D7D02E-7FCE-4884-98E6-FA306D8FBB7C}" presName="rootConnector" presStyleLbl="node3" presStyleIdx="2" presStyleCnt="4"/>
      <dgm:spPr/>
    </dgm:pt>
    <dgm:pt modelId="{ADC85CCD-0725-42CA-A307-08BC6061155D}" type="pres">
      <dgm:prSet presAssocID="{C9D7D02E-7FCE-4884-98E6-FA306D8FBB7C}" presName="hierChild4" presStyleCnt="0"/>
      <dgm:spPr/>
    </dgm:pt>
    <dgm:pt modelId="{5E894A00-CA8D-4E10-9052-F3366B437DA8}" type="pres">
      <dgm:prSet presAssocID="{C9D7D02E-7FCE-4884-98E6-FA306D8FBB7C}" presName="hierChild5" presStyleCnt="0"/>
      <dgm:spPr/>
    </dgm:pt>
    <dgm:pt modelId="{A05C713F-AB90-49DA-873A-73337935E373}" type="pres">
      <dgm:prSet presAssocID="{A7FF1E98-EC89-4C09-BCDD-4C5D8F4A449E}" presName="Name37" presStyleLbl="parChTrans1D3" presStyleIdx="3" presStyleCnt="4"/>
      <dgm:spPr/>
    </dgm:pt>
    <dgm:pt modelId="{B69B1939-3C7E-4A2F-B947-C7A791F52CFD}" type="pres">
      <dgm:prSet presAssocID="{31B91D57-E76E-4F84-91D7-C220BE1EE65D}" presName="hierRoot2" presStyleCnt="0">
        <dgm:presLayoutVars>
          <dgm:hierBranch val="init"/>
        </dgm:presLayoutVars>
      </dgm:prSet>
      <dgm:spPr/>
    </dgm:pt>
    <dgm:pt modelId="{E68C071B-9B69-49EA-98FA-9DAB4F68DA70}" type="pres">
      <dgm:prSet presAssocID="{31B91D57-E76E-4F84-91D7-C220BE1EE65D}" presName="rootComposite" presStyleCnt="0"/>
      <dgm:spPr/>
    </dgm:pt>
    <dgm:pt modelId="{BF49F3C3-3326-4198-96B4-2FEA64B824CB}" type="pres">
      <dgm:prSet presAssocID="{31B91D57-E76E-4F84-91D7-C220BE1EE65D}" presName="rootText" presStyleLbl="node3" presStyleIdx="3" presStyleCnt="4">
        <dgm:presLayoutVars>
          <dgm:chPref val="3"/>
        </dgm:presLayoutVars>
      </dgm:prSet>
      <dgm:spPr/>
    </dgm:pt>
    <dgm:pt modelId="{EBEC9BF3-BBE0-49ED-98D1-3BA4378BFC0B}" type="pres">
      <dgm:prSet presAssocID="{31B91D57-E76E-4F84-91D7-C220BE1EE65D}" presName="rootConnector" presStyleLbl="node3" presStyleIdx="3" presStyleCnt="4"/>
      <dgm:spPr/>
    </dgm:pt>
    <dgm:pt modelId="{8EC6D552-57DC-45F2-8518-09A54E98EA23}" type="pres">
      <dgm:prSet presAssocID="{31B91D57-E76E-4F84-91D7-C220BE1EE65D}" presName="hierChild4" presStyleCnt="0"/>
      <dgm:spPr/>
    </dgm:pt>
    <dgm:pt modelId="{2702A5ED-9F98-4DD5-9990-95CD85946D7A}" type="pres">
      <dgm:prSet presAssocID="{31B91D57-E76E-4F84-91D7-C220BE1EE65D}" presName="hierChild5" presStyleCnt="0"/>
      <dgm:spPr/>
    </dgm:pt>
    <dgm:pt modelId="{5F852A7A-498D-422E-92E3-453C550DE8F8}" type="pres">
      <dgm:prSet presAssocID="{FD6BEA93-14B1-40D2-9563-B21E4E68A7C5}" presName="hierChild5" presStyleCnt="0"/>
      <dgm:spPr/>
    </dgm:pt>
    <dgm:pt modelId="{DF4901E0-B26E-45B1-867A-F92AE7E13403}" type="pres">
      <dgm:prSet presAssocID="{1D39DFAF-0EC7-41A4-B9DC-AB878033A0DE}" presName="hierChild3" presStyleCnt="0"/>
      <dgm:spPr/>
    </dgm:pt>
  </dgm:ptLst>
  <dgm:cxnLst>
    <dgm:cxn modelId="{A93CF613-8899-4212-8565-1FE74A470DE1}" type="presOf" srcId="{F3E0690B-646A-49E8-B002-DA14A0C37317}" destId="{4CB5E759-254A-4672-B0FC-01E948C7D390}" srcOrd="0" destOrd="0" presId="urn:microsoft.com/office/officeart/2005/8/layout/orgChart1"/>
    <dgm:cxn modelId="{EAC4971F-4CF3-49CA-BC98-938B51B8A559}" type="presOf" srcId="{91606984-FB00-4A94-AF91-6AB3E1A494D5}" destId="{664DDFAC-F7C5-4FF9-9DE2-6524AECC8C08}" srcOrd="0" destOrd="0" presId="urn:microsoft.com/office/officeart/2005/8/layout/orgChart1"/>
    <dgm:cxn modelId="{5F529527-4F95-44E0-A806-6DE0A3A47B76}" type="presOf" srcId="{1D39DFAF-0EC7-41A4-B9DC-AB878033A0DE}" destId="{DD811851-C60B-4108-9BFE-97DDF724D388}" srcOrd="1" destOrd="0" presId="urn:microsoft.com/office/officeart/2005/8/layout/orgChart1"/>
    <dgm:cxn modelId="{B863B734-0BBC-486B-935B-7A5C067A87FF}" srcId="{BCC16E3F-66D3-4FD8-9BE5-BB412AB0EFEE}" destId="{28EF53D5-3A3C-4E68-A756-5397D7ED200E}" srcOrd="0" destOrd="0" parTransId="{A0296CB3-4F46-4AC7-923C-555DE7C0C537}" sibTransId="{4701DB16-ABDC-4E9B-AC9D-CE96E540D622}"/>
    <dgm:cxn modelId="{3236E53B-0457-44A6-B0E2-4B67C1F87688}" type="presOf" srcId="{C9D7D02E-7FCE-4884-98E6-FA306D8FBB7C}" destId="{87A48D36-1807-4173-8BBD-506139CA3C65}" srcOrd="0" destOrd="0" presId="urn:microsoft.com/office/officeart/2005/8/layout/orgChart1"/>
    <dgm:cxn modelId="{4B8E5C5D-7FEF-42BC-BECE-EAAAD20FF472}" srcId="{FD6BEA93-14B1-40D2-9563-B21E4E68A7C5}" destId="{C9D7D02E-7FCE-4884-98E6-FA306D8FBB7C}" srcOrd="0" destOrd="0" parTransId="{544AB669-3A00-4498-AEDB-2629CE4B63DE}" sibTransId="{E115ACC9-9E32-4AAA-8010-E7638A682855}"/>
    <dgm:cxn modelId="{AF52B565-2501-4F8E-BD18-7F4620EA8766}" srcId="{BCC16E3F-66D3-4FD8-9BE5-BB412AB0EFEE}" destId="{60011651-A13E-43E1-8102-79FB22ADFE26}" srcOrd="1" destOrd="0" parTransId="{91606984-FB00-4A94-AF91-6AB3E1A494D5}" sibTransId="{13D6E7B8-2825-4289-ACC4-481F47A728BA}"/>
    <dgm:cxn modelId="{F57B8C46-E74F-4FC1-A188-9508B2177915}" type="presOf" srcId="{544AB669-3A00-4498-AEDB-2629CE4B63DE}" destId="{EF59AC70-1095-4589-8652-C22D04A7C551}" srcOrd="0" destOrd="0" presId="urn:microsoft.com/office/officeart/2005/8/layout/orgChart1"/>
    <dgm:cxn modelId="{5195E747-E797-4D68-B747-9C4E80F6B668}" srcId="{1D39DFAF-0EC7-41A4-B9DC-AB878033A0DE}" destId="{FD6BEA93-14B1-40D2-9563-B21E4E68A7C5}" srcOrd="1" destOrd="0" parTransId="{F4C4A53C-09C4-4CFB-BAD7-BE36F557AE29}" sibTransId="{D735FD7C-DA0B-4C2F-B42A-29695E740C1B}"/>
    <dgm:cxn modelId="{448B214B-10AC-4D93-9A45-8904CE7FBEB1}" type="presOf" srcId="{60011651-A13E-43E1-8102-79FB22ADFE26}" destId="{785EE221-7578-4E36-B2CE-3368067CE3DB}" srcOrd="0" destOrd="0" presId="urn:microsoft.com/office/officeart/2005/8/layout/orgChart1"/>
    <dgm:cxn modelId="{45A3746F-68CA-478E-BD4F-ABDA9DF4F1C2}" type="presOf" srcId="{1D39DFAF-0EC7-41A4-B9DC-AB878033A0DE}" destId="{F2DC539B-2F83-40EF-8770-10BFE4C7CC34}" srcOrd="0" destOrd="0" presId="urn:microsoft.com/office/officeart/2005/8/layout/orgChart1"/>
    <dgm:cxn modelId="{E0CE5650-E2E9-422B-A144-F3C0B2D28AE5}" type="presOf" srcId="{28EF53D5-3A3C-4E68-A756-5397D7ED200E}" destId="{7F933DAB-FA85-4F43-A816-B63850C851B2}" srcOrd="0" destOrd="0" presId="urn:microsoft.com/office/officeart/2005/8/layout/orgChart1"/>
    <dgm:cxn modelId="{C72EDB74-55C5-4375-9153-3E300E473A0A}" srcId="{FD6BEA93-14B1-40D2-9563-B21E4E68A7C5}" destId="{31B91D57-E76E-4F84-91D7-C220BE1EE65D}" srcOrd="1" destOrd="0" parTransId="{A7FF1E98-EC89-4C09-BCDD-4C5D8F4A449E}" sibTransId="{E3E378A8-36A1-4D78-8618-EF7AD79D0F77}"/>
    <dgm:cxn modelId="{00D04094-E52C-474C-B1A3-4F7D5482E47D}" type="presOf" srcId="{BCC16E3F-66D3-4FD8-9BE5-BB412AB0EFEE}" destId="{085FA7E7-22BD-47DC-A6EF-BDCFF33D19DE}" srcOrd="1" destOrd="0" presId="urn:microsoft.com/office/officeart/2005/8/layout/orgChart1"/>
    <dgm:cxn modelId="{D1886195-5FFE-4A2C-A067-121D1A07D1A6}" srcId="{039CC1BE-979B-4B94-91B8-5EB207A432AA}" destId="{1D39DFAF-0EC7-41A4-B9DC-AB878033A0DE}" srcOrd="0" destOrd="0" parTransId="{9EA7BC0A-B115-4F24-A86B-C72666827F2C}" sibTransId="{7EA86DF5-89C4-4829-AB41-338CD87E7535}"/>
    <dgm:cxn modelId="{BA08F897-A862-4B36-AEBC-6C732F887431}" srcId="{1D39DFAF-0EC7-41A4-B9DC-AB878033A0DE}" destId="{BCC16E3F-66D3-4FD8-9BE5-BB412AB0EFEE}" srcOrd="0" destOrd="0" parTransId="{F3E0690B-646A-49E8-B002-DA14A0C37317}" sibTransId="{0703F88B-67C5-47BC-A1F5-C69D86928CB7}"/>
    <dgm:cxn modelId="{09FAC799-48FE-492D-A859-0A7F137BA0AF}" type="presOf" srcId="{60011651-A13E-43E1-8102-79FB22ADFE26}" destId="{A4C7BFB2-905A-40BD-AE73-CC7393D16077}" srcOrd="1" destOrd="0" presId="urn:microsoft.com/office/officeart/2005/8/layout/orgChart1"/>
    <dgm:cxn modelId="{F925CABF-15DB-4297-85AA-93D1643807A2}" type="presOf" srcId="{BCC16E3F-66D3-4FD8-9BE5-BB412AB0EFEE}" destId="{605FF02F-1430-4704-B502-2521B60AD927}" srcOrd="0" destOrd="0" presId="urn:microsoft.com/office/officeart/2005/8/layout/orgChart1"/>
    <dgm:cxn modelId="{76029DD0-4F8C-4510-AC9F-26FB1E73F77C}" type="presOf" srcId="{31B91D57-E76E-4F84-91D7-C220BE1EE65D}" destId="{EBEC9BF3-BBE0-49ED-98D1-3BA4378BFC0B}" srcOrd="1" destOrd="0" presId="urn:microsoft.com/office/officeart/2005/8/layout/orgChart1"/>
    <dgm:cxn modelId="{354BF7D3-AFA0-47BD-8DD3-0266ACBB7C07}" type="presOf" srcId="{F4C4A53C-09C4-4CFB-BAD7-BE36F557AE29}" destId="{134A33A9-2793-42A3-BCB5-45DDD47E6743}" srcOrd="0" destOrd="0" presId="urn:microsoft.com/office/officeart/2005/8/layout/orgChart1"/>
    <dgm:cxn modelId="{F45335DD-1F30-4B7D-9583-3517CAD5B957}" type="presOf" srcId="{C9D7D02E-7FCE-4884-98E6-FA306D8FBB7C}" destId="{894EC093-D5DF-4DD8-B5F2-8831F8A3ABC9}" srcOrd="1" destOrd="0" presId="urn:microsoft.com/office/officeart/2005/8/layout/orgChart1"/>
    <dgm:cxn modelId="{4F0ED1E0-5583-403B-A323-9351F5E458F5}" type="presOf" srcId="{A7FF1E98-EC89-4C09-BCDD-4C5D8F4A449E}" destId="{A05C713F-AB90-49DA-873A-73337935E373}" srcOrd="0" destOrd="0" presId="urn:microsoft.com/office/officeart/2005/8/layout/orgChart1"/>
    <dgm:cxn modelId="{656F07E3-B643-4B9B-9F87-77D1283B3473}" type="presOf" srcId="{FD6BEA93-14B1-40D2-9563-B21E4E68A7C5}" destId="{72C6B9F5-4CA1-4A4F-81C6-7DA158BC118D}" srcOrd="0" destOrd="0" presId="urn:microsoft.com/office/officeart/2005/8/layout/orgChart1"/>
    <dgm:cxn modelId="{A204C2E3-B64F-47F3-BC1C-6B2CADFD0FF8}" type="presOf" srcId="{28EF53D5-3A3C-4E68-A756-5397D7ED200E}" destId="{2C1024B9-7B94-47DD-9B2C-BD3849E102A4}" srcOrd="1" destOrd="0" presId="urn:microsoft.com/office/officeart/2005/8/layout/orgChart1"/>
    <dgm:cxn modelId="{4ADE95EA-CF06-43D6-B8A0-2D99E385E4E2}" type="presOf" srcId="{039CC1BE-979B-4B94-91B8-5EB207A432AA}" destId="{13827780-67EB-4444-92FA-B9A60B44BBB6}" srcOrd="0" destOrd="0" presId="urn:microsoft.com/office/officeart/2005/8/layout/orgChart1"/>
    <dgm:cxn modelId="{EFF6FBEE-E6DE-4013-98C3-E012E877306A}" type="presOf" srcId="{FD6BEA93-14B1-40D2-9563-B21E4E68A7C5}" destId="{064172B6-A790-44D2-9A20-C930B08B96BB}" srcOrd="1" destOrd="0" presId="urn:microsoft.com/office/officeart/2005/8/layout/orgChart1"/>
    <dgm:cxn modelId="{F89A60F6-AFF4-446D-91BB-5AC352DCBD8A}" type="presOf" srcId="{31B91D57-E76E-4F84-91D7-C220BE1EE65D}" destId="{BF49F3C3-3326-4198-96B4-2FEA64B824CB}" srcOrd="0" destOrd="0" presId="urn:microsoft.com/office/officeart/2005/8/layout/orgChart1"/>
    <dgm:cxn modelId="{FEA6B3F6-A6CF-4F5C-8C3A-B09E2A1D8050}" type="presOf" srcId="{A0296CB3-4F46-4AC7-923C-555DE7C0C537}" destId="{3D7F1C4A-9173-44B1-B52C-800EDE1C25DD}" srcOrd="0" destOrd="0" presId="urn:microsoft.com/office/officeart/2005/8/layout/orgChart1"/>
    <dgm:cxn modelId="{A41D3729-CC1E-4DBB-8886-EFD1B99DE6D3}" type="presParOf" srcId="{13827780-67EB-4444-92FA-B9A60B44BBB6}" destId="{5387BB01-6E43-496B-825E-234598A4A4DD}" srcOrd="0" destOrd="0" presId="urn:microsoft.com/office/officeart/2005/8/layout/orgChart1"/>
    <dgm:cxn modelId="{2887645E-E675-4576-8642-10FF57E240B7}" type="presParOf" srcId="{5387BB01-6E43-496B-825E-234598A4A4DD}" destId="{2838317E-9C5F-4C36-A4C1-E92F3606A807}" srcOrd="0" destOrd="0" presId="urn:microsoft.com/office/officeart/2005/8/layout/orgChart1"/>
    <dgm:cxn modelId="{41191E20-0AA4-4E07-85F6-34885063459C}" type="presParOf" srcId="{2838317E-9C5F-4C36-A4C1-E92F3606A807}" destId="{F2DC539B-2F83-40EF-8770-10BFE4C7CC34}" srcOrd="0" destOrd="0" presId="urn:microsoft.com/office/officeart/2005/8/layout/orgChart1"/>
    <dgm:cxn modelId="{38AE39B4-A8C2-4C4F-A5DE-54F4F3F673D9}" type="presParOf" srcId="{2838317E-9C5F-4C36-A4C1-E92F3606A807}" destId="{DD811851-C60B-4108-9BFE-97DDF724D388}" srcOrd="1" destOrd="0" presId="urn:microsoft.com/office/officeart/2005/8/layout/orgChart1"/>
    <dgm:cxn modelId="{778767D5-42E7-46D3-97A5-2946DE573DBB}" type="presParOf" srcId="{5387BB01-6E43-496B-825E-234598A4A4DD}" destId="{E4169607-018E-47BE-9C00-B7DE1D2B20D1}" srcOrd="1" destOrd="0" presId="urn:microsoft.com/office/officeart/2005/8/layout/orgChart1"/>
    <dgm:cxn modelId="{3F5F0057-0E48-479D-85DF-FF8922169A1A}" type="presParOf" srcId="{E4169607-018E-47BE-9C00-B7DE1D2B20D1}" destId="{4CB5E759-254A-4672-B0FC-01E948C7D390}" srcOrd="0" destOrd="0" presId="urn:microsoft.com/office/officeart/2005/8/layout/orgChart1"/>
    <dgm:cxn modelId="{2C0F75C3-9118-4045-8635-A095859F80BB}" type="presParOf" srcId="{E4169607-018E-47BE-9C00-B7DE1D2B20D1}" destId="{43F42B12-4F79-4063-AB25-902220870537}" srcOrd="1" destOrd="0" presId="urn:microsoft.com/office/officeart/2005/8/layout/orgChart1"/>
    <dgm:cxn modelId="{72802A01-688A-45FC-BC91-F54FD0FF1F05}" type="presParOf" srcId="{43F42B12-4F79-4063-AB25-902220870537}" destId="{F123FD8D-2711-4F4D-B97B-4F5AA86C5CF5}" srcOrd="0" destOrd="0" presId="urn:microsoft.com/office/officeart/2005/8/layout/orgChart1"/>
    <dgm:cxn modelId="{610D4F33-AB11-4BDC-8761-EF595022FAC6}" type="presParOf" srcId="{F123FD8D-2711-4F4D-B97B-4F5AA86C5CF5}" destId="{605FF02F-1430-4704-B502-2521B60AD927}" srcOrd="0" destOrd="0" presId="urn:microsoft.com/office/officeart/2005/8/layout/orgChart1"/>
    <dgm:cxn modelId="{EBAAD198-0BB2-4870-A41D-E11F1E4F8AE6}" type="presParOf" srcId="{F123FD8D-2711-4F4D-B97B-4F5AA86C5CF5}" destId="{085FA7E7-22BD-47DC-A6EF-BDCFF33D19DE}" srcOrd="1" destOrd="0" presId="urn:microsoft.com/office/officeart/2005/8/layout/orgChart1"/>
    <dgm:cxn modelId="{C3F5394F-B723-451B-95C3-318725FFB93E}" type="presParOf" srcId="{43F42B12-4F79-4063-AB25-902220870537}" destId="{0464C7C0-2BE6-4710-B9E0-3C94A94DC208}" srcOrd="1" destOrd="0" presId="urn:microsoft.com/office/officeart/2005/8/layout/orgChart1"/>
    <dgm:cxn modelId="{91BE6694-11B6-42EE-A3EE-625819CF9EE4}" type="presParOf" srcId="{0464C7C0-2BE6-4710-B9E0-3C94A94DC208}" destId="{3D7F1C4A-9173-44B1-B52C-800EDE1C25DD}" srcOrd="0" destOrd="0" presId="urn:microsoft.com/office/officeart/2005/8/layout/orgChart1"/>
    <dgm:cxn modelId="{7FA64153-A346-4D25-8E31-26622AEBD39B}" type="presParOf" srcId="{0464C7C0-2BE6-4710-B9E0-3C94A94DC208}" destId="{19E7EC2E-42C8-4870-A49D-03F3879F4ED3}" srcOrd="1" destOrd="0" presId="urn:microsoft.com/office/officeart/2005/8/layout/orgChart1"/>
    <dgm:cxn modelId="{F01E6D9C-1A82-40DE-8656-35ED60F2AFD2}" type="presParOf" srcId="{19E7EC2E-42C8-4870-A49D-03F3879F4ED3}" destId="{9C88D41B-D26B-47F2-AD80-D2DA6A312E0F}" srcOrd="0" destOrd="0" presId="urn:microsoft.com/office/officeart/2005/8/layout/orgChart1"/>
    <dgm:cxn modelId="{8D366CB3-43D8-4A06-8EDD-492E86C6409B}" type="presParOf" srcId="{9C88D41B-D26B-47F2-AD80-D2DA6A312E0F}" destId="{7F933DAB-FA85-4F43-A816-B63850C851B2}" srcOrd="0" destOrd="0" presId="urn:microsoft.com/office/officeart/2005/8/layout/orgChart1"/>
    <dgm:cxn modelId="{E4A0A0BB-780A-48E4-834B-741068BD21A5}" type="presParOf" srcId="{9C88D41B-D26B-47F2-AD80-D2DA6A312E0F}" destId="{2C1024B9-7B94-47DD-9B2C-BD3849E102A4}" srcOrd="1" destOrd="0" presId="urn:microsoft.com/office/officeart/2005/8/layout/orgChart1"/>
    <dgm:cxn modelId="{3B5F994C-7050-472E-B6F7-9388292343E9}" type="presParOf" srcId="{19E7EC2E-42C8-4870-A49D-03F3879F4ED3}" destId="{241F60EA-BB9A-43BC-9513-2B1C938D4574}" srcOrd="1" destOrd="0" presId="urn:microsoft.com/office/officeart/2005/8/layout/orgChart1"/>
    <dgm:cxn modelId="{FD2D75AA-F730-49CD-A647-2C66E29B9FDF}" type="presParOf" srcId="{19E7EC2E-42C8-4870-A49D-03F3879F4ED3}" destId="{6B313964-406A-420A-91CF-5314E8704014}" srcOrd="2" destOrd="0" presId="urn:microsoft.com/office/officeart/2005/8/layout/orgChart1"/>
    <dgm:cxn modelId="{2F4D534D-1323-4F83-9FE0-69D1F6898BF8}" type="presParOf" srcId="{0464C7C0-2BE6-4710-B9E0-3C94A94DC208}" destId="{664DDFAC-F7C5-4FF9-9DE2-6524AECC8C08}" srcOrd="2" destOrd="0" presId="urn:microsoft.com/office/officeart/2005/8/layout/orgChart1"/>
    <dgm:cxn modelId="{311CBE01-331A-4162-BDFC-084D1A07C070}" type="presParOf" srcId="{0464C7C0-2BE6-4710-B9E0-3C94A94DC208}" destId="{7AF8586D-757A-48CB-A646-3A819103C556}" srcOrd="3" destOrd="0" presId="urn:microsoft.com/office/officeart/2005/8/layout/orgChart1"/>
    <dgm:cxn modelId="{F7105EBA-AA3C-4323-8D6B-90BF8D6377EA}" type="presParOf" srcId="{7AF8586D-757A-48CB-A646-3A819103C556}" destId="{8FAA72BB-E09A-4BE2-BED2-411C1683D96F}" srcOrd="0" destOrd="0" presId="urn:microsoft.com/office/officeart/2005/8/layout/orgChart1"/>
    <dgm:cxn modelId="{B1851B80-4A75-43DF-BD56-084FD5E8B358}" type="presParOf" srcId="{8FAA72BB-E09A-4BE2-BED2-411C1683D96F}" destId="{785EE221-7578-4E36-B2CE-3368067CE3DB}" srcOrd="0" destOrd="0" presId="urn:microsoft.com/office/officeart/2005/8/layout/orgChart1"/>
    <dgm:cxn modelId="{52E3FAEA-83FF-492D-90BF-8845A8F52B26}" type="presParOf" srcId="{8FAA72BB-E09A-4BE2-BED2-411C1683D96F}" destId="{A4C7BFB2-905A-40BD-AE73-CC7393D16077}" srcOrd="1" destOrd="0" presId="urn:microsoft.com/office/officeart/2005/8/layout/orgChart1"/>
    <dgm:cxn modelId="{5948ED02-DEE8-4808-A0F3-9334E9C36241}" type="presParOf" srcId="{7AF8586D-757A-48CB-A646-3A819103C556}" destId="{7C06A1C2-94B4-4091-B5EB-87419E4B86CC}" srcOrd="1" destOrd="0" presId="urn:microsoft.com/office/officeart/2005/8/layout/orgChart1"/>
    <dgm:cxn modelId="{8C4EE428-F669-4D3C-8E83-2167E36E39DB}" type="presParOf" srcId="{7AF8586D-757A-48CB-A646-3A819103C556}" destId="{44FF5B60-5335-49D5-B4D9-9E0A75C1C699}" srcOrd="2" destOrd="0" presId="urn:microsoft.com/office/officeart/2005/8/layout/orgChart1"/>
    <dgm:cxn modelId="{994CD36B-A4A2-4AE5-9798-41F71A16748B}" type="presParOf" srcId="{43F42B12-4F79-4063-AB25-902220870537}" destId="{80225053-6A3F-4364-9CC2-4D21983BB4A4}" srcOrd="2" destOrd="0" presId="urn:microsoft.com/office/officeart/2005/8/layout/orgChart1"/>
    <dgm:cxn modelId="{412347C4-94FB-4280-9C67-65CD4D51E796}" type="presParOf" srcId="{E4169607-018E-47BE-9C00-B7DE1D2B20D1}" destId="{134A33A9-2793-42A3-BCB5-45DDD47E6743}" srcOrd="2" destOrd="0" presId="urn:microsoft.com/office/officeart/2005/8/layout/orgChart1"/>
    <dgm:cxn modelId="{51FCD61F-C848-4D1E-BE04-C2CC4AF8915C}" type="presParOf" srcId="{E4169607-018E-47BE-9C00-B7DE1D2B20D1}" destId="{72813AAE-6684-4433-A3CD-5B06EE779E58}" srcOrd="3" destOrd="0" presId="urn:microsoft.com/office/officeart/2005/8/layout/orgChart1"/>
    <dgm:cxn modelId="{65BAAC7A-F023-4A27-8A05-E87019B5C0D2}" type="presParOf" srcId="{72813AAE-6684-4433-A3CD-5B06EE779E58}" destId="{53C608FA-C951-4279-ADEE-551FA67DEB9B}" srcOrd="0" destOrd="0" presId="urn:microsoft.com/office/officeart/2005/8/layout/orgChart1"/>
    <dgm:cxn modelId="{E9826E79-95BB-4CCD-9A6B-FD3A088C67C1}" type="presParOf" srcId="{53C608FA-C951-4279-ADEE-551FA67DEB9B}" destId="{72C6B9F5-4CA1-4A4F-81C6-7DA158BC118D}" srcOrd="0" destOrd="0" presId="urn:microsoft.com/office/officeart/2005/8/layout/orgChart1"/>
    <dgm:cxn modelId="{FBC1D5EE-03A3-4CB8-AFCE-E2E17702D4DF}" type="presParOf" srcId="{53C608FA-C951-4279-ADEE-551FA67DEB9B}" destId="{064172B6-A790-44D2-9A20-C930B08B96BB}" srcOrd="1" destOrd="0" presId="urn:microsoft.com/office/officeart/2005/8/layout/orgChart1"/>
    <dgm:cxn modelId="{FEE14B8E-1F74-4363-8D90-A22AA97A8470}" type="presParOf" srcId="{72813AAE-6684-4433-A3CD-5B06EE779E58}" destId="{9AE3D057-B765-4A04-A8C5-115224C06637}" srcOrd="1" destOrd="0" presId="urn:microsoft.com/office/officeart/2005/8/layout/orgChart1"/>
    <dgm:cxn modelId="{34F26CBF-33E0-4BE2-B04C-33B84076E8A0}" type="presParOf" srcId="{9AE3D057-B765-4A04-A8C5-115224C06637}" destId="{EF59AC70-1095-4589-8652-C22D04A7C551}" srcOrd="0" destOrd="0" presId="urn:microsoft.com/office/officeart/2005/8/layout/orgChart1"/>
    <dgm:cxn modelId="{7C26F2F7-A2B5-46E4-9A80-FDA252B99E52}" type="presParOf" srcId="{9AE3D057-B765-4A04-A8C5-115224C06637}" destId="{9FFD5A1E-C57A-4926-950E-A6248DF269A9}" srcOrd="1" destOrd="0" presId="urn:microsoft.com/office/officeart/2005/8/layout/orgChart1"/>
    <dgm:cxn modelId="{028EF6A4-648A-4BCE-83D3-5050C8177332}" type="presParOf" srcId="{9FFD5A1E-C57A-4926-950E-A6248DF269A9}" destId="{A3D121AB-48F0-4DDC-B570-F780C68F6F15}" srcOrd="0" destOrd="0" presId="urn:microsoft.com/office/officeart/2005/8/layout/orgChart1"/>
    <dgm:cxn modelId="{3F8A2779-0982-454E-91EF-FF3A869ECBF4}" type="presParOf" srcId="{A3D121AB-48F0-4DDC-B570-F780C68F6F15}" destId="{87A48D36-1807-4173-8BBD-506139CA3C65}" srcOrd="0" destOrd="0" presId="urn:microsoft.com/office/officeart/2005/8/layout/orgChart1"/>
    <dgm:cxn modelId="{8C737334-F87F-4A72-ABAC-2CD59825A53B}" type="presParOf" srcId="{A3D121AB-48F0-4DDC-B570-F780C68F6F15}" destId="{894EC093-D5DF-4DD8-B5F2-8831F8A3ABC9}" srcOrd="1" destOrd="0" presId="urn:microsoft.com/office/officeart/2005/8/layout/orgChart1"/>
    <dgm:cxn modelId="{A6346F62-5653-452E-A43B-EB58DC8DA71A}" type="presParOf" srcId="{9FFD5A1E-C57A-4926-950E-A6248DF269A9}" destId="{ADC85CCD-0725-42CA-A307-08BC6061155D}" srcOrd="1" destOrd="0" presId="urn:microsoft.com/office/officeart/2005/8/layout/orgChart1"/>
    <dgm:cxn modelId="{887041D2-3914-4610-B430-4C2FB1C8CE00}" type="presParOf" srcId="{9FFD5A1E-C57A-4926-950E-A6248DF269A9}" destId="{5E894A00-CA8D-4E10-9052-F3366B437DA8}" srcOrd="2" destOrd="0" presId="urn:microsoft.com/office/officeart/2005/8/layout/orgChart1"/>
    <dgm:cxn modelId="{40FABC96-F072-47E5-A9CC-FDDB7A5C2275}" type="presParOf" srcId="{9AE3D057-B765-4A04-A8C5-115224C06637}" destId="{A05C713F-AB90-49DA-873A-73337935E373}" srcOrd="2" destOrd="0" presId="urn:microsoft.com/office/officeart/2005/8/layout/orgChart1"/>
    <dgm:cxn modelId="{D0069F9F-E7A8-4965-9008-793B1C39C26C}" type="presParOf" srcId="{9AE3D057-B765-4A04-A8C5-115224C06637}" destId="{B69B1939-3C7E-4A2F-B947-C7A791F52CFD}" srcOrd="3" destOrd="0" presId="urn:microsoft.com/office/officeart/2005/8/layout/orgChart1"/>
    <dgm:cxn modelId="{8CC4F4E1-B9EC-4F3A-A0FC-1CFEA5CAFFB5}" type="presParOf" srcId="{B69B1939-3C7E-4A2F-B947-C7A791F52CFD}" destId="{E68C071B-9B69-49EA-98FA-9DAB4F68DA70}" srcOrd="0" destOrd="0" presId="urn:microsoft.com/office/officeart/2005/8/layout/orgChart1"/>
    <dgm:cxn modelId="{0A955EE9-12DE-4463-906A-D7FD616264D7}" type="presParOf" srcId="{E68C071B-9B69-49EA-98FA-9DAB4F68DA70}" destId="{BF49F3C3-3326-4198-96B4-2FEA64B824CB}" srcOrd="0" destOrd="0" presId="urn:microsoft.com/office/officeart/2005/8/layout/orgChart1"/>
    <dgm:cxn modelId="{66EE8737-E551-4D59-9617-081CE7037EFC}" type="presParOf" srcId="{E68C071B-9B69-49EA-98FA-9DAB4F68DA70}" destId="{EBEC9BF3-BBE0-49ED-98D1-3BA4378BFC0B}" srcOrd="1" destOrd="0" presId="urn:microsoft.com/office/officeart/2005/8/layout/orgChart1"/>
    <dgm:cxn modelId="{DDBBC6A1-232D-4AB3-A0FF-109D881F6399}" type="presParOf" srcId="{B69B1939-3C7E-4A2F-B947-C7A791F52CFD}" destId="{8EC6D552-57DC-45F2-8518-09A54E98EA23}" srcOrd="1" destOrd="0" presId="urn:microsoft.com/office/officeart/2005/8/layout/orgChart1"/>
    <dgm:cxn modelId="{2B3B789A-8267-4F86-8A05-2FF7ECC9840D}" type="presParOf" srcId="{B69B1939-3C7E-4A2F-B947-C7A791F52CFD}" destId="{2702A5ED-9F98-4DD5-9990-95CD85946D7A}" srcOrd="2" destOrd="0" presId="urn:microsoft.com/office/officeart/2005/8/layout/orgChart1"/>
    <dgm:cxn modelId="{800FBEA6-3BF6-4E84-A6C5-9AA63065C726}" type="presParOf" srcId="{72813AAE-6684-4433-A3CD-5B06EE779E58}" destId="{5F852A7A-498D-422E-92E3-453C550DE8F8}" srcOrd="2" destOrd="0" presId="urn:microsoft.com/office/officeart/2005/8/layout/orgChart1"/>
    <dgm:cxn modelId="{A0EE2193-AB9F-4318-B5DC-8B3A174ECC70}" type="presParOf" srcId="{5387BB01-6E43-496B-825E-234598A4A4DD}" destId="{DF4901E0-B26E-45B1-867A-F92AE7E1340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C713F-AB90-49DA-873A-73337935E373}">
      <dsp:nvSpPr>
        <dsp:cNvPr id="0" name=""/>
        <dsp:cNvSpPr/>
      </dsp:nvSpPr>
      <dsp:spPr>
        <a:xfrm>
          <a:off x="1877835" y="1439105"/>
          <a:ext cx="208027" cy="1622616"/>
        </a:xfrm>
        <a:custGeom>
          <a:avLst/>
          <a:gdLst/>
          <a:ahLst/>
          <a:cxnLst/>
          <a:rect l="0" t="0" r="0" b="0"/>
          <a:pathLst>
            <a:path>
              <a:moveTo>
                <a:pt x="0" y="0"/>
              </a:moveTo>
              <a:lnTo>
                <a:pt x="0" y="1622616"/>
              </a:lnTo>
              <a:lnTo>
                <a:pt x="208027" y="1622616"/>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59AC70-1095-4589-8652-C22D04A7C551}">
      <dsp:nvSpPr>
        <dsp:cNvPr id="0" name=""/>
        <dsp:cNvSpPr/>
      </dsp:nvSpPr>
      <dsp:spPr>
        <a:xfrm>
          <a:off x="1877835" y="1439105"/>
          <a:ext cx="208027" cy="637951"/>
        </a:xfrm>
        <a:custGeom>
          <a:avLst/>
          <a:gdLst/>
          <a:ahLst/>
          <a:cxnLst/>
          <a:rect l="0" t="0" r="0" b="0"/>
          <a:pathLst>
            <a:path>
              <a:moveTo>
                <a:pt x="0" y="0"/>
              </a:moveTo>
              <a:lnTo>
                <a:pt x="0" y="637951"/>
              </a:lnTo>
              <a:lnTo>
                <a:pt x="208027" y="637951"/>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4A33A9-2793-42A3-BCB5-45DDD47E6743}">
      <dsp:nvSpPr>
        <dsp:cNvPr id="0" name=""/>
        <dsp:cNvSpPr/>
      </dsp:nvSpPr>
      <dsp:spPr>
        <a:xfrm>
          <a:off x="1593531" y="454440"/>
          <a:ext cx="839045" cy="291238"/>
        </a:xfrm>
        <a:custGeom>
          <a:avLst/>
          <a:gdLst/>
          <a:ahLst/>
          <a:cxnLst/>
          <a:rect l="0" t="0" r="0" b="0"/>
          <a:pathLst>
            <a:path>
              <a:moveTo>
                <a:pt x="0" y="0"/>
              </a:moveTo>
              <a:lnTo>
                <a:pt x="0" y="145619"/>
              </a:lnTo>
              <a:lnTo>
                <a:pt x="839045" y="145619"/>
              </a:lnTo>
              <a:lnTo>
                <a:pt x="839045" y="29123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DDFAC-F7C5-4FF9-9DE2-6524AECC8C08}">
      <dsp:nvSpPr>
        <dsp:cNvPr id="0" name=""/>
        <dsp:cNvSpPr/>
      </dsp:nvSpPr>
      <dsp:spPr>
        <a:xfrm>
          <a:off x="199745" y="1439105"/>
          <a:ext cx="208027" cy="1622616"/>
        </a:xfrm>
        <a:custGeom>
          <a:avLst/>
          <a:gdLst/>
          <a:ahLst/>
          <a:cxnLst/>
          <a:rect l="0" t="0" r="0" b="0"/>
          <a:pathLst>
            <a:path>
              <a:moveTo>
                <a:pt x="0" y="0"/>
              </a:moveTo>
              <a:lnTo>
                <a:pt x="0" y="1622616"/>
              </a:lnTo>
              <a:lnTo>
                <a:pt x="208027" y="1622616"/>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7F1C4A-9173-44B1-B52C-800EDE1C25DD}">
      <dsp:nvSpPr>
        <dsp:cNvPr id="0" name=""/>
        <dsp:cNvSpPr/>
      </dsp:nvSpPr>
      <dsp:spPr>
        <a:xfrm>
          <a:off x="199745" y="1439105"/>
          <a:ext cx="208027" cy="637951"/>
        </a:xfrm>
        <a:custGeom>
          <a:avLst/>
          <a:gdLst/>
          <a:ahLst/>
          <a:cxnLst/>
          <a:rect l="0" t="0" r="0" b="0"/>
          <a:pathLst>
            <a:path>
              <a:moveTo>
                <a:pt x="0" y="0"/>
              </a:moveTo>
              <a:lnTo>
                <a:pt x="0" y="637951"/>
              </a:lnTo>
              <a:lnTo>
                <a:pt x="208027" y="637951"/>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B5E759-254A-4672-B0FC-01E948C7D390}">
      <dsp:nvSpPr>
        <dsp:cNvPr id="0" name=""/>
        <dsp:cNvSpPr/>
      </dsp:nvSpPr>
      <dsp:spPr>
        <a:xfrm>
          <a:off x="754485" y="454440"/>
          <a:ext cx="839045" cy="291238"/>
        </a:xfrm>
        <a:custGeom>
          <a:avLst/>
          <a:gdLst/>
          <a:ahLst/>
          <a:cxnLst/>
          <a:rect l="0" t="0" r="0" b="0"/>
          <a:pathLst>
            <a:path>
              <a:moveTo>
                <a:pt x="839045" y="0"/>
              </a:moveTo>
              <a:lnTo>
                <a:pt x="839045" y="145619"/>
              </a:lnTo>
              <a:lnTo>
                <a:pt x="0" y="145619"/>
              </a:lnTo>
              <a:lnTo>
                <a:pt x="0" y="29123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DC539B-2F83-40EF-8770-10BFE4C7CC34}">
      <dsp:nvSpPr>
        <dsp:cNvPr id="0" name=""/>
        <dsp:cNvSpPr/>
      </dsp:nvSpPr>
      <dsp:spPr>
        <a:xfrm>
          <a:off x="438901" y="1515"/>
          <a:ext cx="2309260" cy="452924"/>
        </a:xfrm>
        <a:prstGeom prst="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dirty="0">
              <a:latin typeface="Times New Roman" panose="02020603050405020304" pitchFamily="18" charset="0"/>
              <a:cs typeface="Times New Roman" panose="02020603050405020304" pitchFamily="18" charset="0"/>
            </a:rPr>
            <a:t>Observational analytical case-control study, N=301.</a:t>
          </a:r>
          <a:endParaRPr lang="kk-KZ" sz="1200" b="1" kern="1200" dirty="0">
            <a:latin typeface="Times New Roman" panose="02020603050405020304" pitchFamily="18" charset="0"/>
            <a:cs typeface="Times New Roman" panose="02020603050405020304" pitchFamily="18" charset="0"/>
          </a:endParaRPr>
        </a:p>
      </dsp:txBody>
      <dsp:txXfrm>
        <a:off x="438901" y="1515"/>
        <a:ext cx="2309260" cy="452924"/>
      </dsp:txXfrm>
    </dsp:sp>
    <dsp:sp modelId="{605FF02F-1430-4704-B502-2521B60AD927}">
      <dsp:nvSpPr>
        <dsp:cNvPr id="0" name=""/>
        <dsp:cNvSpPr/>
      </dsp:nvSpPr>
      <dsp:spPr>
        <a:xfrm>
          <a:off x="61060" y="745679"/>
          <a:ext cx="1386851" cy="69342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T2D</a:t>
          </a:r>
          <a:endParaRPr lang="kk-KZ" sz="1200" b="1" kern="1200" dirty="0">
            <a:latin typeface="Times New Roman" panose="02020603050405020304" pitchFamily="18" charset="0"/>
            <a:cs typeface="Times New Roman" panose="02020603050405020304" pitchFamily="18" charset="0"/>
          </a:endParaRPr>
        </a:p>
      </dsp:txBody>
      <dsp:txXfrm>
        <a:off x="61060" y="745679"/>
        <a:ext cx="1386851" cy="693425"/>
      </dsp:txXfrm>
    </dsp:sp>
    <dsp:sp modelId="{7F933DAB-FA85-4F43-A816-B63850C851B2}">
      <dsp:nvSpPr>
        <dsp:cNvPr id="0" name=""/>
        <dsp:cNvSpPr/>
      </dsp:nvSpPr>
      <dsp:spPr>
        <a:xfrm>
          <a:off x="407773" y="1730343"/>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dirty="0">
              <a:latin typeface="Times New Roman" panose="02020603050405020304" pitchFamily="18" charset="0"/>
              <a:cs typeface="Times New Roman" panose="02020603050405020304" pitchFamily="18" charset="0"/>
            </a:rPr>
            <a:t>Group 1 "Case"</a:t>
          </a:r>
          <a:endParaRPr lang="kk-KZ" sz="1200" b="1" kern="1200" dirty="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b="1" kern="1200" dirty="0">
              <a:latin typeface="Times New Roman" panose="02020603050405020304" pitchFamily="18" charset="0"/>
              <a:cs typeface="Times New Roman" panose="02020603050405020304" pitchFamily="18" charset="0"/>
            </a:rPr>
            <a:t>N=37</a:t>
          </a:r>
          <a:endParaRPr lang="kk-KZ" sz="1200" b="1" kern="1200" dirty="0">
            <a:latin typeface="Times New Roman" panose="02020603050405020304" pitchFamily="18" charset="0"/>
            <a:cs typeface="Times New Roman" panose="02020603050405020304" pitchFamily="18" charset="0"/>
          </a:endParaRPr>
        </a:p>
      </dsp:txBody>
      <dsp:txXfrm>
        <a:off x="407773" y="1730343"/>
        <a:ext cx="1386851" cy="693425"/>
      </dsp:txXfrm>
    </dsp:sp>
    <dsp:sp modelId="{785EE221-7578-4E36-B2CE-3368067CE3DB}">
      <dsp:nvSpPr>
        <dsp:cNvPr id="0" name=""/>
        <dsp:cNvSpPr/>
      </dsp:nvSpPr>
      <dsp:spPr>
        <a:xfrm>
          <a:off x="407773" y="2715008"/>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dirty="0">
              <a:latin typeface="Times New Roman" panose="02020603050405020304" pitchFamily="18" charset="0"/>
              <a:cs typeface="Times New Roman" panose="02020603050405020304" pitchFamily="18" charset="0"/>
            </a:rPr>
            <a:t>Group 3 "Control"</a:t>
          </a:r>
          <a:endParaRPr lang="kk-KZ" sz="1200" b="1" kern="1200" dirty="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b="1" kern="1200" dirty="0">
              <a:latin typeface="Times New Roman" panose="02020603050405020304" pitchFamily="18" charset="0"/>
              <a:cs typeface="Times New Roman" panose="02020603050405020304" pitchFamily="18" charset="0"/>
            </a:rPr>
            <a:t>N=37</a:t>
          </a:r>
          <a:endParaRPr lang="kk-KZ" sz="1200" b="1" kern="1200" dirty="0">
            <a:latin typeface="Times New Roman" panose="02020603050405020304" pitchFamily="18" charset="0"/>
            <a:cs typeface="Times New Roman" panose="02020603050405020304" pitchFamily="18" charset="0"/>
          </a:endParaRPr>
        </a:p>
      </dsp:txBody>
      <dsp:txXfrm>
        <a:off x="407773" y="2715008"/>
        <a:ext cx="1386851" cy="693425"/>
      </dsp:txXfrm>
    </dsp:sp>
    <dsp:sp modelId="{72C6B9F5-4CA1-4A4F-81C6-7DA158BC118D}">
      <dsp:nvSpPr>
        <dsp:cNvPr id="0" name=""/>
        <dsp:cNvSpPr/>
      </dsp:nvSpPr>
      <dsp:spPr>
        <a:xfrm>
          <a:off x="1739150" y="745679"/>
          <a:ext cx="1386851" cy="69342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Prediabetes</a:t>
          </a:r>
          <a:endParaRPr lang="kk-KZ" sz="1200" b="1" kern="1200" dirty="0">
            <a:latin typeface="Times New Roman" panose="02020603050405020304" pitchFamily="18" charset="0"/>
            <a:cs typeface="Times New Roman" panose="02020603050405020304" pitchFamily="18" charset="0"/>
          </a:endParaRPr>
        </a:p>
      </dsp:txBody>
      <dsp:txXfrm>
        <a:off x="1739150" y="745679"/>
        <a:ext cx="1386851" cy="693425"/>
      </dsp:txXfrm>
    </dsp:sp>
    <dsp:sp modelId="{87A48D36-1807-4173-8BBD-506139CA3C65}">
      <dsp:nvSpPr>
        <dsp:cNvPr id="0" name=""/>
        <dsp:cNvSpPr/>
      </dsp:nvSpPr>
      <dsp:spPr>
        <a:xfrm>
          <a:off x="2085863" y="1730343"/>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dirty="0">
              <a:latin typeface="Times New Roman" panose="02020603050405020304" pitchFamily="18" charset="0"/>
              <a:cs typeface="Times New Roman" panose="02020603050405020304" pitchFamily="18" charset="0"/>
            </a:rPr>
            <a:t>Group 3 "Case"</a:t>
          </a:r>
          <a:endParaRPr lang="kk-KZ" sz="1200" b="1" kern="1200" dirty="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b="1" kern="1200" dirty="0">
              <a:latin typeface="Times New Roman" panose="02020603050405020304" pitchFamily="18" charset="0"/>
              <a:cs typeface="Times New Roman" panose="02020603050405020304" pitchFamily="18" charset="0"/>
            </a:rPr>
            <a:t>N=85</a:t>
          </a:r>
          <a:endParaRPr lang="kk-KZ" sz="1200" b="1" kern="1200" dirty="0">
            <a:latin typeface="Times New Roman" panose="02020603050405020304" pitchFamily="18" charset="0"/>
            <a:cs typeface="Times New Roman" panose="02020603050405020304" pitchFamily="18" charset="0"/>
          </a:endParaRPr>
        </a:p>
      </dsp:txBody>
      <dsp:txXfrm>
        <a:off x="2085863" y="1730343"/>
        <a:ext cx="1386851" cy="693425"/>
      </dsp:txXfrm>
    </dsp:sp>
    <dsp:sp modelId="{BF49F3C3-3326-4198-96B4-2FEA64B824CB}">
      <dsp:nvSpPr>
        <dsp:cNvPr id="0" name=""/>
        <dsp:cNvSpPr/>
      </dsp:nvSpPr>
      <dsp:spPr>
        <a:xfrm>
          <a:off x="2085863" y="2715008"/>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Group 4</a:t>
          </a:r>
          <a:r>
            <a:rPr lang="kk-KZ" sz="1200" b="1" kern="1200" dirty="0">
              <a:latin typeface="Times New Roman" panose="02020603050405020304" pitchFamily="18" charset="0"/>
              <a:cs typeface="Times New Roman" panose="02020603050405020304" pitchFamily="18" charset="0"/>
            </a:rPr>
            <a:t> </a:t>
          </a:r>
          <a:r>
            <a:rPr lang="fr-FR" sz="1200" b="1" kern="1200" dirty="0">
              <a:latin typeface="Times New Roman" panose="02020603050405020304" pitchFamily="18" charset="0"/>
              <a:cs typeface="Times New Roman" panose="02020603050405020304" pitchFamily="18" charset="0"/>
            </a:rPr>
            <a:t>"</a:t>
          </a:r>
          <a:r>
            <a:rPr lang="en-US" sz="1200" b="1" kern="1200" dirty="0">
              <a:latin typeface="Times New Roman" panose="02020603050405020304" pitchFamily="18" charset="0"/>
              <a:cs typeface="Times New Roman" panose="02020603050405020304" pitchFamily="18" charset="0"/>
            </a:rPr>
            <a:t>Control</a:t>
          </a:r>
          <a:r>
            <a:rPr lang="fr-FR" sz="1200" b="1" kern="1200" dirty="0">
              <a:latin typeface="Times New Roman" panose="02020603050405020304" pitchFamily="18" charset="0"/>
              <a:cs typeface="Times New Roman" panose="02020603050405020304" pitchFamily="18" charset="0"/>
            </a:rPr>
            <a:t>"</a:t>
          </a:r>
          <a:endParaRPr lang="kk-KZ" sz="1200" b="1" kern="1200" dirty="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 N=112</a:t>
          </a:r>
          <a:endParaRPr lang="kk-KZ" sz="1200" b="1" kern="1200" dirty="0">
            <a:latin typeface="Times New Roman" panose="02020603050405020304" pitchFamily="18" charset="0"/>
            <a:cs typeface="Times New Roman" panose="02020603050405020304" pitchFamily="18" charset="0"/>
          </a:endParaRPr>
        </a:p>
      </dsp:txBody>
      <dsp:txXfrm>
        <a:off x="2085863" y="2715008"/>
        <a:ext cx="1386851" cy="6934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UpuN0U0Mms4Bde2iW6xVh3Tsg==">AMUW2mU47e6yVErHOtZkHtjOOEcFy8a8Cnyz2oIZnhoYEiVaa6bmXL4YKxnSyn5XCoJjDFwQvCUE22QQpjp6neOWHAqkYXyU2MhVDc1fJxXgN1bRuA9jGaWrNZhsfE0Opjz5MRBxR8nP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55D56B-D35F-4ACF-A48C-B9C0BCAA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11</Pages>
  <Words>3626</Words>
  <Characters>20673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Шерьязданова</dc:creator>
  <cp:lastModifiedBy>Шерьязданова Динара</cp:lastModifiedBy>
  <cp:revision>154</cp:revision>
  <cp:lastPrinted>2023-10-10T14:39:00Z</cp:lastPrinted>
  <dcterms:created xsi:type="dcterms:W3CDTF">2022-12-11T19:17:00Z</dcterms:created>
  <dcterms:modified xsi:type="dcterms:W3CDTF">2023-11-20T18:34:00Z</dcterms:modified>
</cp:coreProperties>
</file>